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F4" w:rsidRPr="00F47F8F" w:rsidRDefault="00EA4AF4" w:rsidP="00F47F8F">
      <w:pPr>
        <w:spacing w:line="240" w:lineRule="auto"/>
        <w:jc w:val="center"/>
        <w:rPr>
          <w:sz w:val="30"/>
          <w:szCs w:val="30"/>
          <w:lang w:eastAsia="ru-RU"/>
        </w:rPr>
      </w:pPr>
      <w:r w:rsidRPr="000729FC">
        <w:rPr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EA4AF4" w:rsidRPr="00F47F8F" w:rsidRDefault="00EA4AF4" w:rsidP="00F47F8F">
      <w:pPr>
        <w:autoSpaceDE w:val="0"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F47F8F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A4AF4" w:rsidRPr="00F47F8F" w:rsidRDefault="00EA4AF4" w:rsidP="00F47F8F">
      <w:pPr>
        <w:autoSpaceDE w:val="0"/>
        <w:spacing w:line="240" w:lineRule="auto"/>
        <w:jc w:val="center"/>
        <w:rPr>
          <w:b/>
          <w:bCs/>
          <w:sz w:val="30"/>
          <w:szCs w:val="30"/>
          <w:lang w:eastAsia="ar-SA"/>
        </w:rPr>
      </w:pPr>
      <w:r w:rsidRPr="00F47F8F">
        <w:rPr>
          <w:b/>
          <w:bCs/>
          <w:sz w:val="32"/>
          <w:szCs w:val="32"/>
          <w:lang w:eastAsia="ar-SA"/>
        </w:rPr>
        <w:t>Челябинской области</w:t>
      </w:r>
    </w:p>
    <w:p w:rsidR="00EA4AF4" w:rsidRPr="00F47F8F" w:rsidRDefault="00EA4AF4" w:rsidP="00F47F8F">
      <w:pPr>
        <w:spacing w:line="240" w:lineRule="auto"/>
        <w:rPr>
          <w:szCs w:val="24"/>
          <w:lang w:eastAsia="ru-RU"/>
        </w:rPr>
      </w:pPr>
    </w:p>
    <w:p w:rsidR="00EA4AF4" w:rsidRPr="00F47F8F" w:rsidRDefault="00EA4AF4" w:rsidP="00F47F8F">
      <w:pPr>
        <w:spacing w:line="240" w:lineRule="auto"/>
        <w:jc w:val="center"/>
        <w:rPr>
          <w:b/>
          <w:sz w:val="44"/>
          <w:szCs w:val="44"/>
          <w:lang w:eastAsia="ru-RU"/>
        </w:rPr>
      </w:pPr>
      <w:r w:rsidRPr="00F47F8F">
        <w:rPr>
          <w:b/>
          <w:sz w:val="44"/>
          <w:szCs w:val="44"/>
          <w:lang w:eastAsia="ru-RU"/>
        </w:rPr>
        <w:t>РЕШЕНИЕ</w:t>
      </w:r>
    </w:p>
    <w:p w:rsidR="00EA4AF4" w:rsidRPr="00F47F8F" w:rsidRDefault="00EA4AF4" w:rsidP="00F47F8F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25.06.2025</w:t>
      </w:r>
      <w:r>
        <w:rPr>
          <w:sz w:val="28"/>
          <w:szCs w:val="28"/>
          <w:lang w:eastAsia="ru-RU"/>
        </w:rPr>
        <w:tab/>
        <w:t xml:space="preserve">    1380</w:t>
      </w:r>
    </w:p>
    <w:p w:rsidR="00EA4AF4" w:rsidRPr="00F47F8F" w:rsidRDefault="00EA4AF4" w:rsidP="00F47F8F">
      <w:pPr>
        <w:spacing w:line="240" w:lineRule="auto"/>
        <w:rPr>
          <w:szCs w:val="24"/>
          <w:lang w:eastAsia="ru-RU"/>
        </w:rPr>
      </w:pPr>
      <w:r w:rsidRPr="00F47F8F">
        <w:rPr>
          <w:szCs w:val="24"/>
          <w:lang w:eastAsia="ru-RU"/>
        </w:rPr>
        <w:t>от _______________№_____</w:t>
      </w:r>
    </w:p>
    <w:p w:rsidR="00EA4AF4" w:rsidRPr="00DC4008" w:rsidRDefault="00EA4AF4" w:rsidP="00076CBA">
      <w:pPr>
        <w:tabs>
          <w:tab w:val="left" w:pos="4536"/>
        </w:tabs>
        <w:spacing w:line="240" w:lineRule="auto"/>
        <w:rPr>
          <w:rStyle w:val="Emphasis"/>
          <w:iCs/>
        </w:rPr>
      </w:pPr>
    </w:p>
    <w:p w:rsidR="00EA4AF4" w:rsidRPr="00076CBA" w:rsidRDefault="00EA4AF4" w:rsidP="00AA7850">
      <w:pPr>
        <w:tabs>
          <w:tab w:val="left" w:pos="4111"/>
          <w:tab w:val="left" w:pos="4678"/>
        </w:tabs>
        <w:spacing w:line="240" w:lineRule="auto"/>
        <w:ind w:right="5538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в 2024</w:t>
      </w:r>
      <w:r w:rsidRPr="00076C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Стратегии</w:t>
      </w:r>
      <w:r w:rsidRPr="00076CBA">
        <w:rPr>
          <w:sz w:val="28"/>
          <w:szCs w:val="28"/>
        </w:rPr>
        <w:t xml:space="preserve"> социально-экономического </w:t>
      </w:r>
      <w:r>
        <w:rPr>
          <w:sz w:val="28"/>
          <w:szCs w:val="28"/>
        </w:rPr>
        <w:t>р</w:t>
      </w:r>
      <w:r w:rsidRPr="00076CBA">
        <w:rPr>
          <w:sz w:val="28"/>
          <w:szCs w:val="28"/>
        </w:rPr>
        <w:t>азвития  Копейского городского округа</w:t>
      </w:r>
      <w:r>
        <w:rPr>
          <w:sz w:val="28"/>
          <w:szCs w:val="28"/>
        </w:rPr>
        <w:t xml:space="preserve"> </w:t>
      </w:r>
      <w:r w:rsidRPr="00076CBA">
        <w:rPr>
          <w:sz w:val="28"/>
          <w:szCs w:val="28"/>
        </w:rPr>
        <w:t>до 20</w:t>
      </w:r>
      <w:r>
        <w:rPr>
          <w:sz w:val="28"/>
          <w:szCs w:val="28"/>
        </w:rPr>
        <w:t>35</w:t>
      </w:r>
      <w:r w:rsidRPr="00076CBA">
        <w:rPr>
          <w:sz w:val="28"/>
          <w:szCs w:val="28"/>
        </w:rPr>
        <w:t xml:space="preserve"> года </w:t>
      </w:r>
    </w:p>
    <w:p w:rsidR="00EA4AF4" w:rsidRPr="00076CBA" w:rsidRDefault="00EA4AF4" w:rsidP="00206401">
      <w:pPr>
        <w:spacing w:line="240" w:lineRule="auto"/>
        <w:rPr>
          <w:sz w:val="28"/>
          <w:szCs w:val="28"/>
        </w:rPr>
      </w:pPr>
    </w:p>
    <w:p w:rsidR="00EA4AF4" w:rsidRDefault="00EA4AF4" w:rsidP="0002320C">
      <w:pPr>
        <w:spacing w:line="240" w:lineRule="auto"/>
        <w:ind w:firstLine="709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Заслушав и обсудив информацию о реализации в 20</w:t>
      </w:r>
      <w:r>
        <w:rPr>
          <w:sz w:val="28"/>
          <w:szCs w:val="28"/>
        </w:rPr>
        <w:t>24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 Копейского городского округа до </w:t>
      </w:r>
      <w:r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года,</w:t>
      </w:r>
    </w:p>
    <w:p w:rsidR="00EA4AF4" w:rsidRPr="00076CBA" w:rsidRDefault="00EA4AF4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 xml:space="preserve">Собрание депутатов Копейского городского округа </w:t>
      </w:r>
      <w:r>
        <w:rPr>
          <w:sz w:val="28"/>
          <w:szCs w:val="28"/>
        </w:rPr>
        <w:t>Челябинской области</w:t>
      </w:r>
    </w:p>
    <w:p w:rsidR="00EA4AF4" w:rsidRPr="00076CBA" w:rsidRDefault="00EA4AF4" w:rsidP="00206401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РЕШАЕТ:</w:t>
      </w:r>
    </w:p>
    <w:p w:rsidR="00EA4AF4" w:rsidRPr="00076CBA" w:rsidRDefault="00EA4AF4" w:rsidP="00206401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CBA">
        <w:rPr>
          <w:sz w:val="28"/>
          <w:szCs w:val="28"/>
        </w:rPr>
        <w:t>Принять к сведени</w:t>
      </w:r>
      <w:r>
        <w:rPr>
          <w:sz w:val="28"/>
          <w:szCs w:val="28"/>
        </w:rPr>
        <w:t>ю информацию о реализации в 2024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Копейского городского округа до </w:t>
      </w:r>
      <w:r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года.</w:t>
      </w:r>
    </w:p>
    <w:p w:rsidR="00EA4AF4" w:rsidRDefault="00EA4AF4" w:rsidP="00206401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CBA">
        <w:rPr>
          <w:sz w:val="28"/>
          <w:szCs w:val="28"/>
        </w:rPr>
        <w:t xml:space="preserve">Контроль исполнения настоящего решения возложить на постоянную комиссию по экономической, бюджетной и налоговой политике </w:t>
      </w:r>
      <w:r>
        <w:rPr>
          <w:sz w:val="28"/>
          <w:szCs w:val="28"/>
        </w:rPr>
        <w:t>Собрания депутатов Копейского городского округа.</w:t>
      </w:r>
    </w:p>
    <w:p w:rsidR="00EA4AF4" w:rsidRPr="00076CBA" w:rsidRDefault="00EA4AF4" w:rsidP="00206401">
      <w:pPr>
        <w:pStyle w:val="ListParagraph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EA4AF4" w:rsidRPr="00076CBA" w:rsidRDefault="00EA4AF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EA4AF4" w:rsidRDefault="00EA4AF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 xml:space="preserve">Председатель Собрания депутатов </w:t>
      </w:r>
    </w:p>
    <w:p w:rsidR="00EA4AF4" w:rsidRPr="00076CBA" w:rsidRDefault="00EA4AF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Е.К. Гиске</w:t>
      </w:r>
    </w:p>
    <w:p w:rsidR="00EA4AF4" w:rsidRPr="00076CBA" w:rsidRDefault="00EA4AF4" w:rsidP="00206401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EA4AF4" w:rsidRPr="00076CBA" w:rsidRDefault="00EA4AF4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EA4AF4" w:rsidRDefault="00EA4AF4" w:rsidP="00D32CB7">
      <w:pPr>
        <w:tabs>
          <w:tab w:val="left" w:pos="993"/>
        </w:tabs>
        <w:jc w:val="both"/>
      </w:pPr>
    </w:p>
    <w:p w:rsidR="00EA4AF4" w:rsidRDefault="00EA4AF4" w:rsidP="00D32CB7">
      <w:pPr>
        <w:tabs>
          <w:tab w:val="left" w:pos="993"/>
        </w:tabs>
        <w:jc w:val="both"/>
      </w:pPr>
    </w:p>
    <w:p w:rsidR="00EA4AF4" w:rsidRDefault="00EA4AF4" w:rsidP="00D32CB7">
      <w:pPr>
        <w:tabs>
          <w:tab w:val="left" w:pos="993"/>
        </w:tabs>
        <w:jc w:val="both"/>
      </w:pPr>
    </w:p>
    <w:p w:rsidR="00EA4AF4" w:rsidRDefault="00EA4AF4" w:rsidP="00D32CB7">
      <w:pPr>
        <w:tabs>
          <w:tab w:val="left" w:pos="993"/>
        </w:tabs>
        <w:jc w:val="both"/>
      </w:pPr>
    </w:p>
    <w:p w:rsidR="00EA4AF4" w:rsidRDefault="00EA4AF4" w:rsidP="00D32CB7">
      <w:pPr>
        <w:sectPr w:rsidR="00EA4AF4" w:rsidSect="00076CB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EA4AF4" w:rsidRPr="00AC6B5F" w:rsidRDefault="00EA4AF4" w:rsidP="009D46BD">
      <w:pPr>
        <w:spacing w:line="240" w:lineRule="auto"/>
        <w:ind w:left="5245"/>
        <w:rPr>
          <w:szCs w:val="24"/>
        </w:rPr>
      </w:pPr>
      <w:r w:rsidRPr="00AC6B5F">
        <w:rPr>
          <w:szCs w:val="24"/>
        </w:rPr>
        <w:t xml:space="preserve">Приложение </w:t>
      </w:r>
    </w:p>
    <w:p w:rsidR="00EA4AF4" w:rsidRPr="00AC6B5F" w:rsidRDefault="00EA4AF4" w:rsidP="009D46BD">
      <w:pPr>
        <w:spacing w:line="240" w:lineRule="auto"/>
        <w:ind w:left="5245"/>
        <w:rPr>
          <w:szCs w:val="24"/>
        </w:rPr>
      </w:pPr>
      <w:r w:rsidRPr="00AC6B5F">
        <w:rPr>
          <w:szCs w:val="24"/>
        </w:rPr>
        <w:t>к решению Собрания депутатов Копейского городского округа Челябинской области</w:t>
      </w:r>
    </w:p>
    <w:p w:rsidR="00EA4AF4" w:rsidRPr="00AC6B5F" w:rsidRDefault="00EA4AF4" w:rsidP="009D46BD">
      <w:pPr>
        <w:spacing w:line="240" w:lineRule="auto"/>
        <w:ind w:left="5245"/>
        <w:rPr>
          <w:szCs w:val="24"/>
        </w:rPr>
      </w:pPr>
      <w:r w:rsidRPr="00AC6B5F">
        <w:rPr>
          <w:szCs w:val="24"/>
        </w:rPr>
        <w:t xml:space="preserve">от </w:t>
      </w:r>
      <w:r>
        <w:rPr>
          <w:szCs w:val="24"/>
        </w:rPr>
        <w:t>25.06.2025</w:t>
      </w:r>
      <w:r w:rsidRPr="00AC6B5F">
        <w:rPr>
          <w:szCs w:val="24"/>
        </w:rPr>
        <w:t xml:space="preserve">  № </w:t>
      </w:r>
      <w:r>
        <w:rPr>
          <w:szCs w:val="24"/>
        </w:rPr>
        <w:t>1380</w:t>
      </w:r>
    </w:p>
    <w:p w:rsidR="00EA4AF4" w:rsidRPr="00AC6B5F" w:rsidRDefault="00EA4AF4" w:rsidP="009D46BD">
      <w:pPr>
        <w:spacing w:line="240" w:lineRule="auto"/>
        <w:jc w:val="center"/>
        <w:rPr>
          <w:szCs w:val="24"/>
        </w:rPr>
      </w:pPr>
    </w:p>
    <w:p w:rsidR="00EA4AF4" w:rsidRPr="00AC6B5F" w:rsidRDefault="00EA4AF4" w:rsidP="009D46BD">
      <w:pPr>
        <w:spacing w:line="240" w:lineRule="auto"/>
        <w:ind w:firstLine="567"/>
        <w:jc w:val="center"/>
        <w:rPr>
          <w:szCs w:val="24"/>
        </w:rPr>
      </w:pPr>
    </w:p>
    <w:p w:rsidR="00EA4AF4" w:rsidRPr="00AC6B5F" w:rsidRDefault="00EA4AF4" w:rsidP="009D46BD">
      <w:pPr>
        <w:spacing w:line="240" w:lineRule="auto"/>
        <w:jc w:val="center"/>
        <w:rPr>
          <w:szCs w:val="24"/>
        </w:rPr>
      </w:pPr>
      <w:r w:rsidRPr="00AC6B5F">
        <w:rPr>
          <w:szCs w:val="24"/>
        </w:rPr>
        <w:t>Информация о реализации в 202</w:t>
      </w:r>
      <w:r>
        <w:rPr>
          <w:szCs w:val="24"/>
        </w:rPr>
        <w:t>4</w:t>
      </w:r>
      <w:r w:rsidRPr="00AC6B5F">
        <w:rPr>
          <w:szCs w:val="24"/>
        </w:rPr>
        <w:t xml:space="preserve"> году </w:t>
      </w:r>
    </w:p>
    <w:p w:rsidR="00EA4AF4" w:rsidRPr="00AC6B5F" w:rsidRDefault="00EA4AF4" w:rsidP="009D46BD">
      <w:pPr>
        <w:spacing w:line="240" w:lineRule="auto"/>
        <w:jc w:val="center"/>
        <w:rPr>
          <w:szCs w:val="24"/>
        </w:rPr>
      </w:pPr>
      <w:r w:rsidRPr="00AC6B5F">
        <w:rPr>
          <w:szCs w:val="24"/>
        </w:rPr>
        <w:t xml:space="preserve">Стратегии социально-экономического развития  </w:t>
      </w:r>
    </w:p>
    <w:p w:rsidR="00EA4AF4" w:rsidRPr="00AC6B5F" w:rsidRDefault="00EA4AF4" w:rsidP="009D46BD">
      <w:pPr>
        <w:spacing w:line="240" w:lineRule="auto"/>
        <w:jc w:val="center"/>
        <w:rPr>
          <w:szCs w:val="24"/>
        </w:rPr>
      </w:pPr>
      <w:r w:rsidRPr="00AC6B5F">
        <w:rPr>
          <w:szCs w:val="24"/>
        </w:rPr>
        <w:t>Копейского городского округа Челябинской области до 2035 года</w:t>
      </w:r>
    </w:p>
    <w:p w:rsidR="00EA4AF4" w:rsidRPr="00AC6B5F" w:rsidRDefault="00EA4AF4" w:rsidP="009D46BD">
      <w:pPr>
        <w:spacing w:line="240" w:lineRule="auto"/>
        <w:ind w:firstLine="567"/>
        <w:jc w:val="both"/>
        <w:rPr>
          <w:szCs w:val="24"/>
        </w:rPr>
      </w:pPr>
    </w:p>
    <w:p w:rsidR="00EA4AF4" w:rsidRPr="00AC6B5F" w:rsidRDefault="00EA4AF4" w:rsidP="009D46BD">
      <w:pPr>
        <w:spacing w:line="240" w:lineRule="auto"/>
        <w:ind w:firstLine="567"/>
        <w:jc w:val="both"/>
        <w:rPr>
          <w:szCs w:val="24"/>
        </w:rPr>
      </w:pPr>
      <w:r w:rsidRPr="00AC6B5F">
        <w:rPr>
          <w:szCs w:val="24"/>
        </w:rPr>
        <w:t>Стратегия социально-экономического развития Копейского городского округа до 2035 года принята в новой редакции решением Собрания депутатов городского округа  от 30.11.2022 № 647-МО (далее – Стратегия)  в целях определения ориентиров и направлений дальнейшего развития города.</w:t>
      </w:r>
    </w:p>
    <w:p w:rsidR="00EA4AF4" w:rsidRPr="00AC6B5F" w:rsidRDefault="00EA4AF4" w:rsidP="009D46BD">
      <w:pPr>
        <w:spacing w:line="240" w:lineRule="auto"/>
        <w:ind w:firstLine="567"/>
        <w:jc w:val="both"/>
        <w:rPr>
          <w:szCs w:val="24"/>
        </w:rPr>
      </w:pPr>
      <w:r w:rsidRPr="00AC6B5F">
        <w:rPr>
          <w:szCs w:val="24"/>
        </w:rPr>
        <w:t>В Стратегии определены основные цели, задачи и параметры социально-экономического развития городского округа до 2035 года.</w:t>
      </w:r>
    </w:p>
    <w:p w:rsidR="00EA4AF4" w:rsidRPr="00AC6B5F" w:rsidRDefault="00EA4AF4" w:rsidP="009D46BD">
      <w:pPr>
        <w:spacing w:line="240" w:lineRule="auto"/>
        <w:ind w:firstLine="567"/>
        <w:jc w:val="both"/>
        <w:rPr>
          <w:szCs w:val="24"/>
        </w:rPr>
      </w:pPr>
      <w:r w:rsidRPr="00AC6B5F">
        <w:rPr>
          <w:szCs w:val="24"/>
        </w:rPr>
        <w:t>Администрацией городского округа</w:t>
      </w:r>
      <w:r w:rsidRPr="00AC6B5F">
        <w:rPr>
          <w:rStyle w:val="FootnoteReference"/>
          <w:szCs w:val="24"/>
        </w:rPr>
        <w:footnoteReference w:id="1"/>
      </w:r>
      <w:r w:rsidRPr="00AC6B5F">
        <w:rPr>
          <w:szCs w:val="24"/>
        </w:rPr>
        <w:t xml:space="preserve">утверждён План реализации </w:t>
      </w:r>
      <w:r>
        <w:rPr>
          <w:szCs w:val="24"/>
        </w:rPr>
        <w:t>С</w:t>
      </w:r>
      <w:r w:rsidRPr="00AC6B5F">
        <w:rPr>
          <w:szCs w:val="24"/>
        </w:rPr>
        <w:t>тратегии Копейского городского округа до 2035 года, отчет об исполнении которого размещен на официальном сайте администрации городского округа (</w:t>
      </w:r>
      <w:hyperlink r:id="rId8" w:history="1">
        <w:r w:rsidRPr="00AC6B5F">
          <w:rPr>
            <w:rStyle w:val="Hyperlink"/>
            <w:szCs w:val="24"/>
            <w:lang w:val="en-US"/>
          </w:rPr>
          <w:t>www</w:t>
        </w:r>
        <w:r w:rsidRPr="00AC6B5F">
          <w:rPr>
            <w:rStyle w:val="Hyperlink"/>
            <w:szCs w:val="24"/>
          </w:rPr>
          <w:t>.</w:t>
        </w:r>
        <w:r w:rsidRPr="00AC6B5F">
          <w:rPr>
            <w:rStyle w:val="Hyperlink"/>
            <w:szCs w:val="24"/>
            <w:lang w:val="en-US"/>
          </w:rPr>
          <w:t>akgo</w:t>
        </w:r>
        <w:r w:rsidRPr="00AC6B5F">
          <w:rPr>
            <w:rStyle w:val="Hyperlink"/>
            <w:szCs w:val="24"/>
          </w:rPr>
          <w:t>74.</w:t>
        </w:r>
        <w:r w:rsidRPr="00AC6B5F">
          <w:rPr>
            <w:rStyle w:val="Hyperlink"/>
            <w:szCs w:val="24"/>
            <w:lang w:val="en-US"/>
          </w:rPr>
          <w:t>ru</w:t>
        </w:r>
      </w:hyperlink>
      <w:r w:rsidRPr="00AC6B5F">
        <w:rPr>
          <w:szCs w:val="24"/>
        </w:rPr>
        <w:t xml:space="preserve"> /  Администрация / Стратегическое планирование / Стратегия 2035</w:t>
      </w:r>
      <w:r>
        <w:rPr>
          <w:szCs w:val="24"/>
        </w:rPr>
        <w:t>)</w:t>
      </w:r>
      <w:r w:rsidRPr="00AC6B5F">
        <w:rPr>
          <w:szCs w:val="24"/>
        </w:rPr>
        <w:t xml:space="preserve">. </w:t>
      </w:r>
    </w:p>
    <w:p w:rsidR="00EA4AF4" w:rsidRPr="00AC6B5F" w:rsidRDefault="00EA4AF4" w:rsidP="009D46BD">
      <w:pPr>
        <w:spacing w:line="240" w:lineRule="auto"/>
        <w:ind w:firstLine="567"/>
        <w:jc w:val="both"/>
        <w:rPr>
          <w:szCs w:val="24"/>
        </w:rPr>
      </w:pPr>
      <w:r w:rsidRPr="00AC6B5F">
        <w:rPr>
          <w:szCs w:val="24"/>
        </w:rPr>
        <w:t>В целях реализации Стратегии в 202</w:t>
      </w:r>
      <w:r>
        <w:rPr>
          <w:szCs w:val="24"/>
        </w:rPr>
        <w:t>4</w:t>
      </w:r>
      <w:r w:rsidRPr="00AC6B5F">
        <w:rPr>
          <w:szCs w:val="24"/>
        </w:rPr>
        <w:t xml:space="preserve"> году исполнялись</w:t>
      </w:r>
      <w:r>
        <w:rPr>
          <w:szCs w:val="24"/>
        </w:rPr>
        <w:t>34</w:t>
      </w:r>
      <w:r w:rsidRPr="00AC6B5F">
        <w:rPr>
          <w:szCs w:val="24"/>
        </w:rPr>
        <w:t>государственных</w:t>
      </w:r>
      <w:r>
        <w:rPr>
          <w:szCs w:val="24"/>
        </w:rPr>
        <w:t xml:space="preserve"> и </w:t>
      </w:r>
      <w:r w:rsidRPr="00AC6B5F">
        <w:rPr>
          <w:szCs w:val="24"/>
        </w:rPr>
        <w:t xml:space="preserve">муниципальных программна общую сумму </w:t>
      </w:r>
      <w:r>
        <w:rPr>
          <w:szCs w:val="24"/>
        </w:rPr>
        <w:t>8</w:t>
      </w:r>
      <w:r w:rsidRPr="00AC6B5F">
        <w:rPr>
          <w:szCs w:val="24"/>
        </w:rPr>
        <w:t xml:space="preserve"> млрд. </w:t>
      </w:r>
      <w:r>
        <w:rPr>
          <w:szCs w:val="24"/>
        </w:rPr>
        <w:t>106</w:t>
      </w:r>
      <w:r w:rsidRPr="00AC6B5F">
        <w:rPr>
          <w:szCs w:val="24"/>
        </w:rPr>
        <w:t xml:space="preserve"> млн. рублей (</w:t>
      </w:r>
      <w:r>
        <w:rPr>
          <w:szCs w:val="24"/>
        </w:rPr>
        <w:t>90,3</w:t>
      </w:r>
      <w:r w:rsidRPr="00AC6B5F">
        <w:rPr>
          <w:szCs w:val="24"/>
        </w:rPr>
        <w:t>% от общего бюджета расходов городского округа). Отчеты об исполнении муниципальных  программ и сводный годовой отчет  также размещены на официальном сайте администрации городского округа.</w:t>
      </w:r>
    </w:p>
    <w:p w:rsidR="00EA4AF4" w:rsidRDefault="00EA4AF4" w:rsidP="009D46BD">
      <w:pPr>
        <w:spacing w:line="240" w:lineRule="auto"/>
        <w:ind w:firstLine="567"/>
        <w:jc w:val="both"/>
        <w:rPr>
          <w:szCs w:val="24"/>
        </w:rPr>
      </w:pPr>
      <w:r w:rsidRPr="00EC70C8">
        <w:rPr>
          <w:szCs w:val="24"/>
        </w:rPr>
        <w:t>Все мероприятия, озвученные Главой городского округа  в своем  отчете  перед Собранием депутатов городского округа в марте 202</w:t>
      </w:r>
      <w:r>
        <w:rPr>
          <w:szCs w:val="24"/>
        </w:rPr>
        <w:t>5</w:t>
      </w:r>
      <w:r w:rsidRPr="00EC70C8">
        <w:rPr>
          <w:szCs w:val="24"/>
        </w:rPr>
        <w:t xml:space="preserve"> года  проводились в рамках муниципальных программ и Стратегии.</w:t>
      </w:r>
    </w:p>
    <w:p w:rsidR="00EA4AF4" w:rsidRPr="00AC6B5F" w:rsidRDefault="00EA4AF4" w:rsidP="009D46BD">
      <w:pPr>
        <w:spacing w:line="240" w:lineRule="auto"/>
        <w:ind w:firstLine="567"/>
        <w:jc w:val="both"/>
        <w:rPr>
          <w:szCs w:val="24"/>
        </w:rPr>
      </w:pPr>
      <w:r w:rsidRPr="00AC6B5F">
        <w:rPr>
          <w:szCs w:val="24"/>
        </w:rPr>
        <w:t>Сводный  коэффициент эффективности реализации муниципальных программ по городскому округу -  0,</w:t>
      </w:r>
      <w:r>
        <w:rPr>
          <w:szCs w:val="24"/>
        </w:rPr>
        <w:t>97</w:t>
      </w:r>
      <w:r w:rsidRPr="00AC6B5F">
        <w:rPr>
          <w:szCs w:val="24"/>
        </w:rPr>
        <w:t xml:space="preserve"> (высокая эффективность).</w:t>
      </w:r>
    </w:p>
    <w:p w:rsidR="00EA4AF4" w:rsidRDefault="00EA4AF4" w:rsidP="009D46BD">
      <w:pPr>
        <w:spacing w:line="240" w:lineRule="auto"/>
        <w:ind w:firstLine="567"/>
        <w:jc w:val="both"/>
        <w:rPr>
          <w:szCs w:val="24"/>
        </w:rPr>
      </w:pPr>
      <w:r w:rsidRPr="00AC6B5F">
        <w:rPr>
          <w:szCs w:val="24"/>
        </w:rPr>
        <w:t>Стратегией определены основные индикативные показатели,  исполнение которых представлено в таблицах 1 и 2.</w:t>
      </w:r>
    </w:p>
    <w:p w:rsidR="00EA4AF4" w:rsidRPr="00AC6B5F" w:rsidRDefault="00EA4AF4" w:rsidP="009D46BD">
      <w:pPr>
        <w:spacing w:line="240" w:lineRule="auto"/>
        <w:ind w:firstLine="567"/>
        <w:jc w:val="both"/>
        <w:rPr>
          <w:szCs w:val="24"/>
        </w:rPr>
      </w:pPr>
    </w:p>
    <w:p w:rsidR="00EA4AF4" w:rsidRPr="00AC6B5F" w:rsidRDefault="00EA4AF4" w:rsidP="009D46BD">
      <w:pPr>
        <w:spacing w:line="240" w:lineRule="auto"/>
        <w:rPr>
          <w:szCs w:val="24"/>
        </w:rPr>
      </w:pPr>
      <w:r>
        <w:rPr>
          <w:szCs w:val="24"/>
        </w:rPr>
        <w:br w:type="page"/>
      </w:r>
      <w:r w:rsidRPr="00AC6B5F">
        <w:rPr>
          <w:szCs w:val="24"/>
        </w:rPr>
        <w:t>Таблица 1.</w:t>
      </w:r>
    </w:p>
    <w:p w:rsidR="00EA4AF4" w:rsidRDefault="00EA4AF4" w:rsidP="009D46BD">
      <w:pPr>
        <w:spacing w:line="240" w:lineRule="auto"/>
        <w:rPr>
          <w:szCs w:val="24"/>
        </w:rPr>
      </w:pPr>
      <w:r w:rsidRPr="00AC6B5F">
        <w:rPr>
          <w:szCs w:val="24"/>
        </w:rPr>
        <w:t>Основные показатели социально-экономического развития Копейского городского округа</w:t>
      </w:r>
    </w:p>
    <w:p w:rsidR="00EA4AF4" w:rsidRPr="00AC6B5F" w:rsidRDefault="00EA4AF4" w:rsidP="009D46BD">
      <w:pPr>
        <w:spacing w:line="240" w:lineRule="auto"/>
        <w:rPr>
          <w:szCs w:val="24"/>
        </w:rPr>
      </w:pPr>
    </w:p>
    <w:tbl>
      <w:tblPr>
        <w:tblW w:w="9654" w:type="dxa"/>
        <w:tblInd w:w="93" w:type="dxa"/>
        <w:tblLook w:val="00A0"/>
      </w:tblPr>
      <w:tblGrid>
        <w:gridCol w:w="3984"/>
        <w:gridCol w:w="1562"/>
        <w:gridCol w:w="1273"/>
        <w:gridCol w:w="1276"/>
        <w:gridCol w:w="1559"/>
      </w:tblGrid>
      <w:tr w:rsidR="00EA4AF4" w:rsidRPr="00BD4DA1" w:rsidTr="008E2585">
        <w:trPr>
          <w:trHeight w:val="375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Уровень выполнения</w:t>
            </w:r>
          </w:p>
        </w:tc>
      </w:tr>
      <w:tr w:rsidR="00EA4AF4" w:rsidRPr="00BD4DA1" w:rsidTr="008E2585">
        <w:trPr>
          <w:trHeight w:val="37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</w:t>
            </w:r>
            <w:r w:rsidRPr="00BD4DA1">
              <w:rPr>
                <w:color w:val="000000"/>
                <w:sz w:val="22"/>
                <w:lang w:eastAsia="ru-RU"/>
              </w:rPr>
              <w:t>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</w:tr>
      <w:tr w:rsidR="00EA4AF4" w:rsidRPr="00BD4DA1" w:rsidTr="008E2585">
        <w:trPr>
          <w:trHeight w:val="22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Среднегодовая численность постоянного населения, тыс. человек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тыс.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100,7</w:t>
            </w:r>
          </w:p>
        </w:tc>
      </w:tr>
      <w:tr w:rsidR="00EA4AF4" w:rsidRPr="00BD4DA1" w:rsidTr="008E2585">
        <w:trPr>
          <w:trHeight w:val="64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4DA1">
              <w:rPr>
                <w:color w:val="000000"/>
                <w:sz w:val="20"/>
                <w:szCs w:val="20"/>
                <w:lang w:eastAsia="ru-RU"/>
              </w:rPr>
              <w:t>в процентах  к предыдущему году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99,4</w:t>
            </w:r>
          </w:p>
        </w:tc>
      </w:tr>
      <w:tr w:rsidR="00EA4AF4" w:rsidRPr="00BD4DA1" w:rsidTr="008E2585">
        <w:trPr>
          <w:trHeight w:val="227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38 037,8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74 744,9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196,5</w:t>
            </w:r>
          </w:p>
        </w:tc>
      </w:tr>
      <w:tr w:rsidR="00EA4AF4" w:rsidRPr="00BD4DA1" w:rsidTr="008E2585">
        <w:trPr>
          <w:trHeight w:val="97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4DA1">
              <w:rPr>
                <w:color w:val="000000"/>
                <w:sz w:val="20"/>
                <w:szCs w:val="20"/>
                <w:lang w:eastAsia="ru-RU"/>
              </w:rPr>
              <w:t>в процентах  к предыдущему году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117,5</w:t>
            </w:r>
          </w:p>
        </w:tc>
      </w:tr>
      <w:tr w:rsidR="00EA4AF4" w:rsidRPr="00BD4DA1" w:rsidTr="008E2585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Индекс производства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4DA1">
              <w:rPr>
                <w:color w:val="000000"/>
                <w:sz w:val="20"/>
                <w:szCs w:val="20"/>
                <w:lang w:eastAsia="ru-RU"/>
              </w:rPr>
              <w:t>в процентах  к предыдущему году в сопоставимых ценах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113,1</w:t>
            </w:r>
          </w:p>
        </w:tc>
      </w:tr>
      <w:tr w:rsidR="00EA4AF4" w:rsidRPr="00BD4DA1" w:rsidTr="008E258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Оплата труда наемных работников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19 109,4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28 010,3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146,5</w:t>
            </w:r>
          </w:p>
        </w:tc>
      </w:tr>
      <w:tr w:rsidR="00EA4AF4" w:rsidRPr="00BD4DA1" w:rsidTr="008E258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Фонд заработной платы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17 614,5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25 858,4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146,8</w:t>
            </w:r>
          </w:p>
        </w:tc>
      </w:tr>
      <w:tr w:rsidR="00EA4AF4" w:rsidRPr="00BD4DA1" w:rsidTr="008E258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Средняя заработная плата в экономике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47 969,8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lang w:eastAsia="ru-RU"/>
              </w:rPr>
            </w:pPr>
            <w:r w:rsidRPr="00AD5715">
              <w:rPr>
                <w:sz w:val="22"/>
                <w:lang w:eastAsia="ru-RU"/>
              </w:rPr>
              <w:t>71657,4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143,4</w:t>
            </w:r>
          </w:p>
        </w:tc>
      </w:tr>
      <w:tr w:rsidR="00EA4AF4" w:rsidRPr="00BD4DA1" w:rsidTr="008E258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97,7</w:t>
            </w:r>
          </w:p>
        </w:tc>
      </w:tr>
      <w:tr w:rsidR="00EA4AF4" w:rsidRPr="00BD4DA1" w:rsidTr="008E2585">
        <w:trPr>
          <w:trHeight w:val="10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Объем продукции сельского хозяйства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5 861,9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7 216,3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123,1</w:t>
            </w:r>
          </w:p>
        </w:tc>
      </w:tr>
      <w:tr w:rsidR="00EA4AF4" w:rsidRPr="00BD4DA1" w:rsidTr="008E2585">
        <w:trPr>
          <w:trHeight w:val="96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4DA1">
              <w:rPr>
                <w:color w:val="000000"/>
                <w:sz w:val="20"/>
                <w:szCs w:val="20"/>
                <w:lang w:eastAsia="ru-RU"/>
              </w:rPr>
              <w:t>в процентах к предыдущему году в сопоставимых ценах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93,4</w:t>
            </w:r>
          </w:p>
        </w:tc>
      </w:tr>
      <w:tr w:rsidR="00EA4AF4" w:rsidRPr="00BD4DA1" w:rsidTr="008E2585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 xml:space="preserve">Объем инвестиций в основной капитал за счет всех источников финансирования по крупным и средним организациям,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3 166,4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10 871,4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343,3</w:t>
            </w:r>
          </w:p>
        </w:tc>
      </w:tr>
      <w:tr w:rsidR="00EA4AF4" w:rsidRPr="00BD4DA1" w:rsidTr="008E2585">
        <w:trPr>
          <w:trHeight w:val="509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4DA1">
              <w:rPr>
                <w:color w:val="000000"/>
                <w:sz w:val="20"/>
                <w:szCs w:val="20"/>
                <w:lang w:eastAsia="ru-RU"/>
              </w:rPr>
              <w:t>в процентах  к предыдущему году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124,2</w:t>
            </w:r>
          </w:p>
        </w:tc>
      </w:tr>
      <w:tr w:rsidR="00EA4AF4" w:rsidRPr="00BD4DA1" w:rsidTr="008E2585">
        <w:trPr>
          <w:trHeight w:val="1003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4DA1">
              <w:rPr>
                <w:color w:val="000000"/>
                <w:sz w:val="20"/>
                <w:szCs w:val="20"/>
                <w:lang w:eastAsia="ru-RU"/>
              </w:rPr>
              <w:t>в процентах к предыдущему году в сопоставимых ценах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121,0</w:t>
            </w:r>
          </w:p>
        </w:tc>
      </w:tr>
      <w:tr w:rsidR="00EA4AF4" w:rsidRPr="00BD4DA1" w:rsidTr="008E258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D4DA1">
              <w:rPr>
                <w:color w:val="000000"/>
                <w:sz w:val="22"/>
                <w:lang w:eastAsia="ru-RU"/>
              </w:rPr>
              <w:t>млн. рублей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8 836,4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9 830,0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D4DA1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111,2</w:t>
            </w:r>
          </w:p>
        </w:tc>
      </w:tr>
    </w:tbl>
    <w:p w:rsidR="00EA4AF4" w:rsidRPr="00AC6B5F" w:rsidRDefault="00EA4AF4" w:rsidP="009D46BD">
      <w:pPr>
        <w:spacing w:line="240" w:lineRule="auto"/>
        <w:jc w:val="center"/>
        <w:rPr>
          <w:szCs w:val="24"/>
        </w:rPr>
      </w:pPr>
    </w:p>
    <w:p w:rsidR="00EA4AF4" w:rsidRPr="00AC6B5F" w:rsidRDefault="00EA4AF4" w:rsidP="009D46BD">
      <w:pPr>
        <w:spacing w:line="240" w:lineRule="auto"/>
        <w:jc w:val="center"/>
        <w:rPr>
          <w:szCs w:val="24"/>
        </w:rPr>
      </w:pPr>
    </w:p>
    <w:p w:rsidR="00EA4AF4" w:rsidRDefault="00EA4AF4" w:rsidP="009D46BD">
      <w:pPr>
        <w:spacing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br w:type="page"/>
      </w:r>
      <w:r w:rsidRPr="00AC6B5F">
        <w:rPr>
          <w:szCs w:val="24"/>
        </w:rPr>
        <w:t>Таблица 2. Основные показатели конечного результата, установленные на конец каждого года реализации Стратегии</w:t>
      </w:r>
    </w:p>
    <w:p w:rsidR="00EA4AF4" w:rsidRPr="00AC6B5F" w:rsidRDefault="00EA4AF4" w:rsidP="009D46BD">
      <w:pPr>
        <w:spacing w:line="240" w:lineRule="auto"/>
        <w:rPr>
          <w:szCs w:val="24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3984"/>
        <w:gridCol w:w="1560"/>
        <w:gridCol w:w="1275"/>
        <w:gridCol w:w="1276"/>
        <w:gridCol w:w="1559"/>
      </w:tblGrid>
      <w:tr w:rsidR="00EA4AF4" w:rsidRPr="00BE3D55" w:rsidTr="008E2585">
        <w:trPr>
          <w:trHeight w:val="45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Наименование показателя /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Единица измерения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202</w:t>
            </w:r>
            <w:r>
              <w:rPr>
                <w:color w:val="000000"/>
                <w:sz w:val="22"/>
                <w:lang w:eastAsia="ru-RU"/>
              </w:rPr>
              <w:t>4</w:t>
            </w:r>
            <w:r w:rsidRPr="00BE3D55">
              <w:rPr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Уровень исполнения</w:t>
            </w:r>
          </w:p>
        </w:tc>
      </w:tr>
      <w:tr w:rsidR="00EA4AF4" w:rsidRPr="00BE3D55" w:rsidTr="008E2585">
        <w:trPr>
          <w:trHeight w:val="31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</w:p>
        </w:tc>
      </w:tr>
      <w:tr w:rsidR="00EA4AF4" w:rsidRPr="00BE3D55" w:rsidTr="008E2585">
        <w:trPr>
          <w:trHeight w:val="568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Направление 1. Развитие экономики Копейского городского округа. Повышение инвестиционной привлекательности города.   Формирование цифровой инфраструктуры экономики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ед.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B17123">
              <w:rPr>
                <w:color w:val="000000"/>
                <w:szCs w:val="24"/>
                <w:lang w:eastAsia="ru-RU"/>
              </w:rPr>
              <w:t>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302,59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112,3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Средняя заработная плата по городскому округу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рубли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</w:rPr>
            </w:pPr>
            <w:r w:rsidRPr="00286F7D">
              <w:rPr>
                <w:color w:val="000000"/>
                <w:szCs w:val="24"/>
              </w:rPr>
              <w:t>71657,4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152,1</w:t>
            </w:r>
          </w:p>
        </w:tc>
      </w:tr>
      <w:tr w:rsidR="00EA4AF4" w:rsidRPr="00BE3D55" w:rsidTr="008E2585">
        <w:trPr>
          <w:trHeight w:val="8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Реальный рост заработной 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A5104A" w:rsidRDefault="00EA4AF4" w:rsidP="008E2585">
            <w:pPr>
              <w:spacing w:line="240" w:lineRule="auto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A5104A">
              <w:rPr>
                <w:color w:val="000000"/>
                <w:sz w:val="21"/>
                <w:szCs w:val="21"/>
                <w:lang w:eastAsia="ru-RU"/>
              </w:rPr>
              <w:t>процент к пред.году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116,0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Уровень зарегистрированной безработицы*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17123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210,5</w:t>
            </w:r>
          </w:p>
        </w:tc>
      </w:tr>
      <w:tr w:rsidR="00EA4AF4" w:rsidRPr="00BE3D55" w:rsidTr="008E2585">
        <w:trPr>
          <w:trHeight w:val="327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Направление 2. Жилищно-коммунальное хозяйство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Уровень удовлетворённости населения  качеством  предоставления жилищно-коммунальных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79,7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Удельный вес населения с доступом к водоснабжению и централизованному водоотведению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25002" w:rsidRDefault="00EA4AF4" w:rsidP="008E2585">
            <w:pPr>
              <w:jc w:val="center"/>
              <w:rPr>
                <w:color w:val="000000"/>
                <w:szCs w:val="24"/>
              </w:rPr>
            </w:pPr>
            <w:r w:rsidRPr="00525002">
              <w:rPr>
                <w:color w:val="000000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25002" w:rsidRDefault="00EA4AF4" w:rsidP="008E2585">
            <w:pPr>
              <w:jc w:val="center"/>
              <w:rPr>
                <w:szCs w:val="24"/>
              </w:rPr>
            </w:pPr>
            <w:r w:rsidRPr="00525002">
              <w:rPr>
                <w:szCs w:val="24"/>
              </w:rPr>
              <w:t>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105,6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Уровень газификации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25002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525002">
              <w:rPr>
                <w:color w:val="000000"/>
                <w:szCs w:val="24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FD4C8B" w:rsidRDefault="00EA4AF4" w:rsidP="008E2585">
            <w:pPr>
              <w:jc w:val="center"/>
              <w:rPr>
                <w:szCs w:val="24"/>
                <w:lang w:eastAsia="ru-RU"/>
              </w:rPr>
            </w:pPr>
            <w:r w:rsidRPr="00525002">
              <w:rPr>
                <w:szCs w:val="24"/>
                <w:lang w:eastAsia="ru-RU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многоквартирных домов, собственники помещений в которых реализовали свое право по выбору способа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4D1440" w:rsidRDefault="00EA4AF4" w:rsidP="008E2585">
            <w:pPr>
              <w:jc w:val="center"/>
              <w:rPr>
                <w:color w:val="FF0000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 w:rsidRPr="00537BF7">
              <w:rPr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91,0</w:t>
            </w:r>
          </w:p>
        </w:tc>
      </w:tr>
      <w:tr w:rsidR="00EA4AF4" w:rsidRPr="00BE3D55" w:rsidTr="008E2585">
        <w:trPr>
          <w:trHeight w:val="372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Направление 3. Градорегулирование, организация городского пространства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тыс. кв. 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134,9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Средняя обеспеченность населения жильем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кв. м. на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26,</w:t>
            </w:r>
            <w:r>
              <w:rPr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97,8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 xml:space="preserve">Срок ликвидации аварийного и непригодного для проживания жилищного фонда от даты признания его таковым*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08401C">
              <w:rPr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75,0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Индекс качества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105,5</w:t>
            </w:r>
          </w:p>
        </w:tc>
      </w:tr>
      <w:tr w:rsidR="00EA4AF4" w:rsidRPr="00BE3D55" w:rsidTr="008E2585">
        <w:trPr>
          <w:trHeight w:val="2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Уровень удовлетворенности населения благоустройством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94,3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Удовлетворенность населения состоянием внутридворовых территорий (дорог, проездов, тротуаров)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2</w:t>
            </w:r>
            <w:r>
              <w:rPr>
                <w:color w:val="000000"/>
                <w:szCs w:val="24"/>
                <w:lang w:eastAsia="ru-RU"/>
              </w:rPr>
              <w:t>9</w:t>
            </w:r>
            <w:r w:rsidRPr="00E924EE">
              <w:rPr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164,5</w:t>
            </w:r>
          </w:p>
        </w:tc>
      </w:tr>
      <w:tr w:rsidR="00EA4AF4" w:rsidRPr="00BE3D55" w:rsidTr="008E2585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жителей города в возрасте старше 14 лет, принявших участие с использованием цифровых технологий в принятии решений по вопросам городского развития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105,6</w:t>
            </w:r>
          </w:p>
        </w:tc>
      </w:tr>
      <w:tr w:rsidR="00EA4AF4" w:rsidRPr="00BE3D55" w:rsidTr="008E2585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Направление 4. Экология </w:t>
            </w:r>
          </w:p>
        </w:tc>
      </w:tr>
      <w:tr w:rsidR="00EA4AF4" w:rsidRPr="0054503D" w:rsidTr="008E2585">
        <w:trPr>
          <w:trHeight w:val="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Коэффициент качества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коэф-т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283,3</w:t>
            </w:r>
          </w:p>
        </w:tc>
      </w:tr>
      <w:tr w:rsidR="00EA4AF4" w:rsidRPr="0054503D" w:rsidTr="008E258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Площадь территории, включенной в зеленый пояс вокруг города Челябинска (нарастающим итогом)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1 246,4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1 246,4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54503D" w:rsidTr="008E258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Обеспеченность контейнерным сбором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120,9</w:t>
            </w:r>
          </w:p>
        </w:tc>
      </w:tr>
      <w:tr w:rsidR="00EA4AF4" w:rsidRPr="0054503D" w:rsidTr="008E258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Обеспеченность контейнерными площадками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4503D">
              <w:rPr>
                <w:color w:val="000000"/>
                <w:sz w:val="22"/>
                <w:lang w:eastAsia="ru-RU"/>
              </w:rPr>
              <w:t>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54503D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108,3</w:t>
            </w:r>
          </w:p>
        </w:tc>
      </w:tr>
      <w:tr w:rsidR="00EA4AF4" w:rsidRPr="00BE3D55" w:rsidTr="008E2585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Направление 5. Социальная сфера </w:t>
            </w:r>
          </w:p>
        </w:tc>
      </w:tr>
      <w:tr w:rsidR="00EA4AF4" w:rsidRPr="001454E0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86,45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100,9</w:t>
            </w:r>
          </w:p>
        </w:tc>
      </w:tr>
      <w:tr w:rsidR="00EA4AF4" w:rsidRPr="001454E0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Охват детей в возрасте от 1 года до 7 лет дошкольным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102,5</w:t>
            </w:r>
          </w:p>
        </w:tc>
      </w:tr>
      <w:tr w:rsidR="00EA4AF4" w:rsidRPr="001454E0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Охват детей в возрасте от 5 лет до 18 лет программами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133,3</w:t>
            </w:r>
          </w:p>
        </w:tc>
      </w:tr>
      <w:tr w:rsidR="00EA4AF4" w:rsidRPr="001454E0" w:rsidTr="008E2585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Удельный вес численности обучающихся, занимающихся в первую смену в общеобразовательных организациях, расположенных на территории городского округа, в общей численности обучающихся в общеобразовательных организациях, расположенных на территории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96,2</w:t>
            </w:r>
          </w:p>
        </w:tc>
      </w:tr>
      <w:tr w:rsidR="00EA4AF4" w:rsidRPr="001454E0" w:rsidTr="008E2585">
        <w:trPr>
          <w:trHeight w:val="17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Доля муниципальных общеобразовательных организаций, в которых создана безбарьерная среда для получения детьми-инвалидами и детьми с ОВЗ качественного образования, в общем количестве муниципальных 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1454E0" w:rsidTr="008E258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Доля зданий муниципальных общеобразовательных организаций, находящихся в аварийном  состоянии и  требующих капитального ремонта</w:t>
            </w:r>
            <w:r>
              <w:rPr>
                <w:color w:val="000000"/>
                <w:sz w:val="22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1454E0">
              <w:rPr>
                <w:color w:val="000000"/>
                <w:sz w:val="22"/>
                <w:lang w:eastAsia="ru-RU"/>
              </w:rPr>
              <w:t>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41,8</w:t>
            </w:r>
          </w:p>
        </w:tc>
      </w:tr>
      <w:tr w:rsidR="00EA4AF4" w:rsidRPr="001454E0" w:rsidTr="008E2585">
        <w:trPr>
          <w:trHeight w:val="1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1454E0">
              <w:rPr>
                <w:sz w:val="22"/>
              </w:rPr>
              <w:t>Уровень заработной платы педагогических работников дошкольных образовательных учреждений к средней заработной плате в общем образовании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97,7</w:t>
            </w:r>
          </w:p>
        </w:tc>
      </w:tr>
      <w:tr w:rsidR="00EA4AF4" w:rsidRPr="001454E0" w:rsidTr="008E2585">
        <w:trPr>
          <w:trHeight w:val="13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1454E0">
              <w:rPr>
                <w:sz w:val="22"/>
              </w:rPr>
              <w:t>Уровень заработной платы педагогических работников учреждений дополнительного образования детей к средней заработной плате учителей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95,7</w:t>
            </w:r>
          </w:p>
        </w:tc>
      </w:tr>
      <w:tr w:rsidR="00EA4AF4" w:rsidRPr="001454E0" w:rsidTr="008E2585">
        <w:trPr>
          <w:trHeight w:val="2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1454E0">
              <w:rPr>
                <w:sz w:val="22"/>
              </w:rPr>
              <w:t>Уровень заработной платы педагогических работников общего образования к прогнозному значению среднемесячной зарплаты наемных работников в организациях, у индивидуальных предпринимателей и физических лиц (среднемесячного дохода от трудовой деятельности)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1454E0">
              <w:rPr>
                <w:sz w:val="22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454E0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116,4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92,7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 xml:space="preserve">Доля населения, охваченного профилактическими осмотрами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3</w:t>
            </w:r>
            <w:r>
              <w:rPr>
                <w:color w:val="000000"/>
                <w:szCs w:val="24"/>
                <w:lang w:eastAsia="ru-RU"/>
              </w:rPr>
              <w:t>2</w:t>
            </w:r>
            <w:r w:rsidRPr="00E924EE">
              <w:rPr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132,2</w:t>
            </w:r>
          </w:p>
        </w:tc>
      </w:tr>
      <w:tr w:rsidR="00EA4AF4" w:rsidRPr="00BE3D55" w:rsidTr="008E258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Коэффициент смертности*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чел.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109,6</w:t>
            </w:r>
          </w:p>
        </w:tc>
      </w:tr>
      <w:tr w:rsidR="00EA4AF4" w:rsidRPr="00BE3D55" w:rsidTr="008E2585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Коэффициент рождаемости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чел.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8,</w:t>
            </w:r>
            <w:r>
              <w:rPr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92,1</w:t>
            </w:r>
          </w:p>
        </w:tc>
      </w:tr>
      <w:tr w:rsidR="00EA4AF4" w:rsidRPr="00BE3D55" w:rsidTr="008E2585">
        <w:trPr>
          <w:trHeight w:val="5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Коэффициент младенческой смертности*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чел.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120,9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128,0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50D4D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99,9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Охват населения услугами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50D4D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150D4D">
              <w:rPr>
                <w:color w:val="000000"/>
                <w:szCs w:val="24"/>
                <w:lang w:eastAsia="ru-RU"/>
              </w:rPr>
              <w:t>3</w:t>
            </w:r>
            <w:r>
              <w:rPr>
                <w:color w:val="000000"/>
                <w:szCs w:val="24"/>
                <w:lang w:eastAsia="ru-RU"/>
              </w:rPr>
              <w:t>9</w:t>
            </w:r>
            <w:r w:rsidRPr="00150D4D">
              <w:rPr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151,8</w:t>
            </w:r>
          </w:p>
        </w:tc>
      </w:tr>
      <w:tr w:rsidR="00EA4AF4" w:rsidRPr="00BE3D55" w:rsidTr="008E2585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объектов культурного наследия, находящихся в муниципальной собственности и находящихся в удовлетворительном состоянии от общего количества объектов культурного наследия, находящихся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50D4D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150D4D">
              <w:rPr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92,3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зданий учреждений культуры, находящихся в аварийном  состоянии и  требующих капитального ремонта*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150D4D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74,8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социальной защиты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95,9</w:t>
            </w:r>
          </w:p>
        </w:tc>
      </w:tr>
      <w:tr w:rsidR="00EA4AF4" w:rsidRPr="00BE3D55" w:rsidTr="008E2585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объема выплаченных сумм на меры социальной поддержки от объема начисленных сумм на меры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BE3D55" w:rsidTr="008E2585">
        <w:trPr>
          <w:trHeight w:val="4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Удельный вес семей, получающих субсидию на оплату жилого помещения и коммунальных услуг, в общем объеме обратившихся семей, имеющих право  на ее назначение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BE3D55" w:rsidTr="008E2585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BE3D55" w:rsidTr="008E2585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социальной защиты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BE3D55" w:rsidTr="008E2585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социальной защиты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BE3D55" w:rsidTr="008E2585">
        <w:trPr>
          <w:trHeight w:val="40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Направление 6. Муниципальное управление 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Удовлетворенность деятельностью главы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3</w:t>
            </w:r>
            <w:r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56,1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Доверие главе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76,7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Удовлетворенность деятельностью администрации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52,5</w:t>
            </w:r>
          </w:p>
        </w:tc>
      </w:tr>
      <w:tr w:rsidR="00EA4AF4" w:rsidRPr="00BE3D55" w:rsidTr="008E258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Удовлетворенность деятельностью Собрания депутатов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62,6</w:t>
            </w:r>
          </w:p>
        </w:tc>
      </w:tr>
      <w:tr w:rsidR="00EA4AF4" w:rsidRPr="00BE3D55" w:rsidTr="008E2585">
        <w:trPr>
          <w:trHeight w:val="48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Направление 7. Государственная, общественная и информационная безопасность  </w:t>
            </w:r>
          </w:p>
        </w:tc>
      </w:tr>
      <w:tr w:rsidR="00EA4AF4" w:rsidRPr="00BE3D55" w:rsidTr="008E258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Число лиц, погибших в ДТП*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чел. на                    10 000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</w:rPr>
            </w:pPr>
            <w:r w:rsidRPr="00E924EE">
              <w:rPr>
                <w:color w:val="000000"/>
                <w:szCs w:val="24"/>
              </w:rPr>
              <w:t>0,4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46,1</w:t>
            </w:r>
          </w:p>
        </w:tc>
      </w:tr>
      <w:tr w:rsidR="00EA4AF4" w:rsidRPr="00BE3D55" w:rsidTr="008E2585">
        <w:trPr>
          <w:trHeight w:val="1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 xml:space="preserve">Уровень преступности*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кол-во зарегистрированных преступлений  на  10 000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</w:rPr>
            </w:pPr>
            <w:r w:rsidRPr="00E924EE">
              <w:rPr>
                <w:color w:val="000000"/>
                <w:szCs w:val="24"/>
              </w:rPr>
              <w:t>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85,5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Число лиц, погибших на водных объектах*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100,0</w:t>
            </w:r>
          </w:p>
        </w:tc>
      </w:tr>
      <w:tr w:rsidR="00EA4AF4" w:rsidRPr="00BE3D55" w:rsidTr="008E258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Число лиц, погибших на пожарах*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BE3D55">
              <w:rPr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E924EE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E924EE" w:rsidRDefault="00EA4AF4" w:rsidP="008E2585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F4" w:rsidRPr="00BE3D55" w:rsidRDefault="00EA4AF4" w:rsidP="008E2585">
            <w:pPr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</w:tr>
    </w:tbl>
    <w:p w:rsidR="00EA4AF4" w:rsidRPr="00BD4DA1" w:rsidRDefault="00EA4AF4" w:rsidP="009D46BD">
      <w:pPr>
        <w:tabs>
          <w:tab w:val="left" w:pos="3140"/>
        </w:tabs>
        <w:spacing w:line="240" w:lineRule="auto"/>
        <w:rPr>
          <w:sz w:val="20"/>
          <w:szCs w:val="20"/>
        </w:rPr>
      </w:pPr>
      <w:r w:rsidRPr="00BD4DA1">
        <w:rPr>
          <w:sz w:val="20"/>
          <w:szCs w:val="20"/>
        </w:rPr>
        <w:t>* - обратная зависимость коэффициентов</w:t>
      </w:r>
    </w:p>
    <w:p w:rsidR="00EA4AF4" w:rsidRPr="00AC6B5F" w:rsidRDefault="00EA4AF4" w:rsidP="009D46BD">
      <w:pPr>
        <w:tabs>
          <w:tab w:val="left" w:pos="3140"/>
        </w:tabs>
        <w:spacing w:line="240" w:lineRule="auto"/>
        <w:ind w:left="284"/>
        <w:jc w:val="center"/>
        <w:rPr>
          <w:szCs w:val="24"/>
        </w:rPr>
      </w:pPr>
    </w:p>
    <w:p w:rsidR="00EA4AF4" w:rsidRDefault="00EA4AF4" w:rsidP="009D46BD">
      <w:pPr>
        <w:spacing w:line="240" w:lineRule="auto"/>
        <w:jc w:val="both"/>
        <w:rPr>
          <w:szCs w:val="24"/>
        </w:rPr>
      </w:pPr>
    </w:p>
    <w:p w:rsidR="00EA4AF4" w:rsidRDefault="00EA4AF4" w:rsidP="009D46BD">
      <w:pPr>
        <w:spacing w:line="240" w:lineRule="auto"/>
        <w:jc w:val="both"/>
        <w:rPr>
          <w:szCs w:val="24"/>
        </w:rPr>
      </w:pPr>
    </w:p>
    <w:p w:rsidR="00EA4AF4" w:rsidRPr="00AC6B5F" w:rsidRDefault="00EA4AF4" w:rsidP="009D46BD">
      <w:pPr>
        <w:spacing w:line="240" w:lineRule="auto"/>
        <w:jc w:val="both"/>
        <w:rPr>
          <w:szCs w:val="24"/>
        </w:rPr>
      </w:pPr>
      <w:r w:rsidRPr="00AC6B5F">
        <w:rPr>
          <w:szCs w:val="24"/>
        </w:rPr>
        <w:t>Заместитель Главы городского округа</w:t>
      </w:r>
    </w:p>
    <w:p w:rsidR="00EA4AF4" w:rsidRPr="00AC6B5F" w:rsidRDefault="00EA4AF4" w:rsidP="009D46BD">
      <w:pPr>
        <w:spacing w:line="240" w:lineRule="auto"/>
        <w:jc w:val="both"/>
      </w:pPr>
      <w:r w:rsidRPr="00AC6B5F">
        <w:rPr>
          <w:szCs w:val="24"/>
        </w:rPr>
        <w:t>по финансам и экономике</w:t>
      </w:r>
      <w:r w:rsidRPr="00AC6B5F">
        <w:rPr>
          <w:szCs w:val="24"/>
        </w:rPr>
        <w:tab/>
      </w:r>
      <w:r w:rsidRPr="00AC6B5F">
        <w:rPr>
          <w:szCs w:val="24"/>
        </w:rPr>
        <w:tab/>
      </w:r>
      <w:r w:rsidRPr="00AC6B5F">
        <w:rPr>
          <w:szCs w:val="24"/>
        </w:rPr>
        <w:tab/>
      </w:r>
      <w:r w:rsidRPr="00AC6B5F">
        <w:rPr>
          <w:szCs w:val="24"/>
        </w:rPr>
        <w:tab/>
      </w:r>
      <w:r w:rsidRPr="00AC6B5F">
        <w:rPr>
          <w:szCs w:val="24"/>
        </w:rPr>
        <w:tab/>
      </w:r>
      <w:r w:rsidRPr="00AC6B5F">
        <w:rPr>
          <w:szCs w:val="24"/>
        </w:rPr>
        <w:tab/>
      </w:r>
      <w:r w:rsidRPr="00AC6B5F">
        <w:rPr>
          <w:szCs w:val="24"/>
        </w:rPr>
        <w:tab/>
      </w:r>
      <w:r w:rsidRPr="00AC6B5F">
        <w:rPr>
          <w:szCs w:val="24"/>
        </w:rPr>
        <w:tab/>
        <w:t xml:space="preserve">       О.М. Пескова</w:t>
      </w:r>
    </w:p>
    <w:p w:rsidR="00EA4AF4" w:rsidRDefault="00EA4AF4" w:rsidP="009D46BD">
      <w:pPr>
        <w:rPr>
          <w:lang w:eastAsia="ru-RU"/>
        </w:rPr>
      </w:pPr>
    </w:p>
    <w:sectPr w:rsidR="00EA4AF4" w:rsidSect="00C40FAC">
      <w:headerReference w:type="default" r:id="rId9"/>
      <w:pgSz w:w="11906" w:h="16838" w:code="9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F4" w:rsidRDefault="00EA4AF4" w:rsidP="009D46BD">
      <w:pPr>
        <w:spacing w:line="240" w:lineRule="auto"/>
      </w:pPr>
      <w:r>
        <w:separator/>
      </w:r>
    </w:p>
  </w:endnote>
  <w:endnote w:type="continuationSeparator" w:id="0">
    <w:p w:rsidR="00EA4AF4" w:rsidRDefault="00EA4AF4" w:rsidP="009D4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F4" w:rsidRDefault="00EA4AF4" w:rsidP="009D46BD">
      <w:pPr>
        <w:spacing w:line="240" w:lineRule="auto"/>
      </w:pPr>
      <w:r>
        <w:separator/>
      </w:r>
    </w:p>
  </w:footnote>
  <w:footnote w:type="continuationSeparator" w:id="0">
    <w:p w:rsidR="00EA4AF4" w:rsidRDefault="00EA4AF4" w:rsidP="009D46BD">
      <w:pPr>
        <w:spacing w:line="240" w:lineRule="auto"/>
      </w:pPr>
      <w:r>
        <w:continuationSeparator/>
      </w:r>
    </w:p>
  </w:footnote>
  <w:footnote w:id="1">
    <w:p w:rsidR="00EA4AF4" w:rsidRDefault="00EA4AF4" w:rsidP="009D46BD">
      <w:pPr>
        <w:pStyle w:val="FootnoteText"/>
      </w:pPr>
      <w:r>
        <w:rPr>
          <w:rStyle w:val="FootnoteReference"/>
        </w:rPr>
        <w:footnoteRef/>
      </w:r>
      <w:r>
        <w:t xml:space="preserve"> Постановление администрации Копейского городского округа от 20.10.2023 № 813-р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F4" w:rsidRPr="00921AE5" w:rsidRDefault="00EA4AF4">
    <w:pPr>
      <w:pStyle w:val="Header"/>
      <w:jc w:val="center"/>
      <w:rPr>
        <w:sz w:val="20"/>
        <w:szCs w:val="20"/>
      </w:rPr>
    </w:pPr>
    <w:r w:rsidRPr="00921AE5">
      <w:rPr>
        <w:sz w:val="20"/>
        <w:szCs w:val="20"/>
      </w:rPr>
      <w:fldChar w:fldCharType="begin"/>
    </w:r>
    <w:r w:rsidRPr="00921AE5">
      <w:rPr>
        <w:sz w:val="20"/>
        <w:szCs w:val="20"/>
      </w:rPr>
      <w:instrText>PAGE   \* MERGEFORMAT</w:instrText>
    </w:r>
    <w:r w:rsidRPr="00921AE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921AE5">
      <w:rPr>
        <w:sz w:val="20"/>
        <w:szCs w:val="20"/>
      </w:rPr>
      <w:fldChar w:fldCharType="end"/>
    </w:r>
  </w:p>
  <w:p w:rsidR="00EA4AF4" w:rsidRDefault="00EA4A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6"/>
  </w:num>
  <w:num w:numId="5">
    <w:abstractNumId w:val="6"/>
  </w:num>
  <w:num w:numId="6">
    <w:abstractNumId w:val="9"/>
  </w:num>
  <w:num w:numId="7">
    <w:abstractNumId w:val="18"/>
  </w:num>
  <w:num w:numId="8">
    <w:abstractNumId w:val="11"/>
  </w:num>
  <w:num w:numId="9">
    <w:abstractNumId w:val="21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  <w:num w:numId="19">
    <w:abstractNumId w:val="17"/>
  </w:num>
  <w:num w:numId="20">
    <w:abstractNumId w:val="10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04121"/>
    <w:rsid w:val="0001238F"/>
    <w:rsid w:val="0002320C"/>
    <w:rsid w:val="00031C4F"/>
    <w:rsid w:val="000729FC"/>
    <w:rsid w:val="00076CBA"/>
    <w:rsid w:val="0008401C"/>
    <w:rsid w:val="0008500E"/>
    <w:rsid w:val="000A0AD1"/>
    <w:rsid w:val="000F3247"/>
    <w:rsid w:val="00100EFB"/>
    <w:rsid w:val="00111143"/>
    <w:rsid w:val="001454E0"/>
    <w:rsid w:val="00150D4D"/>
    <w:rsid w:val="001573B4"/>
    <w:rsid w:val="00191660"/>
    <w:rsid w:val="001C63E2"/>
    <w:rsid w:val="001C6A8B"/>
    <w:rsid w:val="001D0E91"/>
    <w:rsid w:val="001D62C9"/>
    <w:rsid w:val="00206401"/>
    <w:rsid w:val="00254CBA"/>
    <w:rsid w:val="00264C75"/>
    <w:rsid w:val="00280238"/>
    <w:rsid w:val="002858F0"/>
    <w:rsid w:val="00286F7D"/>
    <w:rsid w:val="0028700E"/>
    <w:rsid w:val="002A0822"/>
    <w:rsid w:val="002C3429"/>
    <w:rsid w:val="002C4DE8"/>
    <w:rsid w:val="002F1654"/>
    <w:rsid w:val="002F6CD7"/>
    <w:rsid w:val="0030359A"/>
    <w:rsid w:val="00324DAE"/>
    <w:rsid w:val="00324E2C"/>
    <w:rsid w:val="003277AE"/>
    <w:rsid w:val="0033723B"/>
    <w:rsid w:val="003D1FFB"/>
    <w:rsid w:val="003E03CF"/>
    <w:rsid w:val="003E5BD4"/>
    <w:rsid w:val="003F49E2"/>
    <w:rsid w:val="00417564"/>
    <w:rsid w:val="0046570D"/>
    <w:rsid w:val="004663E1"/>
    <w:rsid w:val="004878A6"/>
    <w:rsid w:val="0049012C"/>
    <w:rsid w:val="004B1A0F"/>
    <w:rsid w:val="004D00A0"/>
    <w:rsid w:val="004D1440"/>
    <w:rsid w:val="004E587A"/>
    <w:rsid w:val="00501E56"/>
    <w:rsid w:val="00502976"/>
    <w:rsid w:val="0051374E"/>
    <w:rsid w:val="00522357"/>
    <w:rsid w:val="00525002"/>
    <w:rsid w:val="00537517"/>
    <w:rsid w:val="00537BF7"/>
    <w:rsid w:val="0054503D"/>
    <w:rsid w:val="0058478A"/>
    <w:rsid w:val="005A40A4"/>
    <w:rsid w:val="005C0965"/>
    <w:rsid w:val="005C1D66"/>
    <w:rsid w:val="005C33ED"/>
    <w:rsid w:val="005D550E"/>
    <w:rsid w:val="005F146A"/>
    <w:rsid w:val="005F5628"/>
    <w:rsid w:val="00606700"/>
    <w:rsid w:val="006111D2"/>
    <w:rsid w:val="006157B4"/>
    <w:rsid w:val="006210EA"/>
    <w:rsid w:val="00661CEE"/>
    <w:rsid w:val="00666C8C"/>
    <w:rsid w:val="006A59B6"/>
    <w:rsid w:val="006B036E"/>
    <w:rsid w:val="006B447A"/>
    <w:rsid w:val="006C0490"/>
    <w:rsid w:val="006D30AC"/>
    <w:rsid w:val="006E7FC8"/>
    <w:rsid w:val="006F3009"/>
    <w:rsid w:val="006F6AFF"/>
    <w:rsid w:val="007079C9"/>
    <w:rsid w:val="00795E0D"/>
    <w:rsid w:val="00797235"/>
    <w:rsid w:val="007B0441"/>
    <w:rsid w:val="007D13AF"/>
    <w:rsid w:val="007D6135"/>
    <w:rsid w:val="008014A4"/>
    <w:rsid w:val="008063AA"/>
    <w:rsid w:val="00815C21"/>
    <w:rsid w:val="00833F4E"/>
    <w:rsid w:val="00834E30"/>
    <w:rsid w:val="00863BAB"/>
    <w:rsid w:val="00886A09"/>
    <w:rsid w:val="00887A73"/>
    <w:rsid w:val="008D02DF"/>
    <w:rsid w:val="008E2585"/>
    <w:rsid w:val="008E5594"/>
    <w:rsid w:val="008F06DD"/>
    <w:rsid w:val="00906BC6"/>
    <w:rsid w:val="009112F6"/>
    <w:rsid w:val="00921AE5"/>
    <w:rsid w:val="0095496F"/>
    <w:rsid w:val="009916E7"/>
    <w:rsid w:val="009A4302"/>
    <w:rsid w:val="009A7A99"/>
    <w:rsid w:val="009A7B7B"/>
    <w:rsid w:val="009D05E3"/>
    <w:rsid w:val="009D0AD3"/>
    <w:rsid w:val="009D4417"/>
    <w:rsid w:val="009D46BD"/>
    <w:rsid w:val="009F4611"/>
    <w:rsid w:val="00A007AC"/>
    <w:rsid w:val="00A03A52"/>
    <w:rsid w:val="00A5104A"/>
    <w:rsid w:val="00AA7850"/>
    <w:rsid w:val="00AC6B5F"/>
    <w:rsid w:val="00AD1CC9"/>
    <w:rsid w:val="00AD5715"/>
    <w:rsid w:val="00B17123"/>
    <w:rsid w:val="00B3553D"/>
    <w:rsid w:val="00B459DA"/>
    <w:rsid w:val="00B5474C"/>
    <w:rsid w:val="00B56210"/>
    <w:rsid w:val="00B620B9"/>
    <w:rsid w:val="00B77599"/>
    <w:rsid w:val="00B77D5C"/>
    <w:rsid w:val="00BD4DA1"/>
    <w:rsid w:val="00BE3D55"/>
    <w:rsid w:val="00BF52C6"/>
    <w:rsid w:val="00C36C70"/>
    <w:rsid w:val="00C40FAC"/>
    <w:rsid w:val="00C44E1E"/>
    <w:rsid w:val="00CB290E"/>
    <w:rsid w:val="00CC5F56"/>
    <w:rsid w:val="00D05EC1"/>
    <w:rsid w:val="00D11164"/>
    <w:rsid w:val="00D17EE7"/>
    <w:rsid w:val="00D26588"/>
    <w:rsid w:val="00D32CB7"/>
    <w:rsid w:val="00D465C8"/>
    <w:rsid w:val="00D67035"/>
    <w:rsid w:val="00D9268C"/>
    <w:rsid w:val="00D92BC4"/>
    <w:rsid w:val="00DA2731"/>
    <w:rsid w:val="00DC1964"/>
    <w:rsid w:val="00DC4008"/>
    <w:rsid w:val="00E314A5"/>
    <w:rsid w:val="00E33F50"/>
    <w:rsid w:val="00E431A6"/>
    <w:rsid w:val="00E65741"/>
    <w:rsid w:val="00E86D77"/>
    <w:rsid w:val="00E924EE"/>
    <w:rsid w:val="00EA4AF4"/>
    <w:rsid w:val="00EC70C8"/>
    <w:rsid w:val="00F13780"/>
    <w:rsid w:val="00F14630"/>
    <w:rsid w:val="00F255A8"/>
    <w:rsid w:val="00F27082"/>
    <w:rsid w:val="00F45CBD"/>
    <w:rsid w:val="00F47F8F"/>
    <w:rsid w:val="00FB1141"/>
    <w:rsid w:val="00FC2F86"/>
    <w:rsid w:val="00FC6613"/>
    <w:rsid w:val="00FD4C8B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C4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imes New Roman"/>
      <w:sz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DC4008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9D46B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46BD"/>
    <w:rPr>
      <w:rFonts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D46B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D4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46BD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D46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go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1674</Words>
  <Characters>9543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4</cp:revision>
  <cp:lastPrinted>2024-06-04T07:54:00Z</cp:lastPrinted>
  <dcterms:created xsi:type="dcterms:W3CDTF">2025-06-16T05:01:00Z</dcterms:created>
  <dcterms:modified xsi:type="dcterms:W3CDTF">2025-06-25T04:02:00Z</dcterms:modified>
</cp:coreProperties>
</file>