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3" w:rsidRPr="0002796D" w:rsidRDefault="006B26D3" w:rsidP="006B26D3">
      <w:pPr>
        <w:spacing w:line="240" w:lineRule="auto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D3" w:rsidRPr="0002796D" w:rsidRDefault="006B26D3" w:rsidP="006B26D3">
      <w:pPr>
        <w:suppressAutoHyphens/>
        <w:autoSpaceDE w:val="0"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02796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B26D3" w:rsidRPr="0002796D" w:rsidRDefault="006B26D3" w:rsidP="006B26D3">
      <w:pPr>
        <w:suppressAutoHyphens/>
        <w:autoSpaceDE w:val="0"/>
        <w:spacing w:line="240" w:lineRule="auto"/>
        <w:jc w:val="center"/>
        <w:rPr>
          <w:b/>
          <w:bCs/>
          <w:sz w:val="30"/>
          <w:szCs w:val="30"/>
          <w:lang w:eastAsia="ar-SA"/>
        </w:rPr>
      </w:pPr>
      <w:r w:rsidRPr="0002796D">
        <w:rPr>
          <w:b/>
          <w:bCs/>
          <w:sz w:val="32"/>
          <w:szCs w:val="32"/>
          <w:lang w:eastAsia="ar-SA"/>
        </w:rPr>
        <w:t>Челябинской области</w:t>
      </w:r>
    </w:p>
    <w:p w:rsidR="006B26D3" w:rsidRPr="0002796D" w:rsidRDefault="006B26D3" w:rsidP="006B26D3">
      <w:pPr>
        <w:spacing w:line="240" w:lineRule="auto"/>
        <w:rPr>
          <w:rFonts w:eastAsia="Times New Roman"/>
          <w:szCs w:val="24"/>
        </w:rPr>
      </w:pPr>
    </w:p>
    <w:p w:rsidR="006B26D3" w:rsidRPr="0002796D" w:rsidRDefault="006B26D3" w:rsidP="006B26D3">
      <w:pPr>
        <w:spacing w:line="240" w:lineRule="auto"/>
        <w:jc w:val="center"/>
        <w:rPr>
          <w:rFonts w:eastAsia="Times New Roman"/>
          <w:b/>
          <w:sz w:val="44"/>
          <w:szCs w:val="44"/>
        </w:rPr>
      </w:pPr>
      <w:r w:rsidRPr="0002796D">
        <w:rPr>
          <w:rFonts w:eastAsia="Times New Roman"/>
          <w:b/>
          <w:sz w:val="44"/>
          <w:szCs w:val="44"/>
        </w:rPr>
        <w:t>РЕШЕНИЕ</w:t>
      </w:r>
    </w:p>
    <w:p w:rsidR="006B26D3" w:rsidRPr="0002796D" w:rsidRDefault="00BE0E1D" w:rsidP="006B26D3">
      <w:pPr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26.06.2024          1108</w:t>
      </w:r>
    </w:p>
    <w:p w:rsidR="006B26D3" w:rsidRDefault="006B26D3" w:rsidP="006B26D3">
      <w:pPr>
        <w:spacing w:line="240" w:lineRule="auto"/>
        <w:rPr>
          <w:rFonts w:eastAsia="Times New Roman"/>
          <w:szCs w:val="24"/>
        </w:rPr>
      </w:pPr>
      <w:r w:rsidRPr="0002796D">
        <w:rPr>
          <w:rFonts w:eastAsia="Times New Roman"/>
          <w:szCs w:val="24"/>
        </w:rPr>
        <w:t>от _______________№_____</w:t>
      </w:r>
    </w:p>
    <w:p w:rsidR="001C6A8B" w:rsidRPr="00DC4008" w:rsidRDefault="001C6A8B" w:rsidP="00076CBA">
      <w:pPr>
        <w:tabs>
          <w:tab w:val="left" w:pos="4536"/>
        </w:tabs>
        <w:spacing w:line="240" w:lineRule="auto"/>
        <w:rPr>
          <w:rStyle w:val="a8"/>
        </w:rPr>
      </w:pPr>
    </w:p>
    <w:p w:rsidR="001C6A8B" w:rsidRPr="00076CBA" w:rsidRDefault="001C6A8B" w:rsidP="00206401">
      <w:pPr>
        <w:tabs>
          <w:tab w:val="left" w:pos="4111"/>
          <w:tab w:val="left" w:pos="4678"/>
        </w:tabs>
        <w:spacing w:line="240" w:lineRule="auto"/>
        <w:ind w:right="4395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 w:rsidR="0058478A">
        <w:rPr>
          <w:sz w:val="28"/>
          <w:szCs w:val="28"/>
        </w:rPr>
        <w:t>в 2023</w:t>
      </w:r>
      <w:r w:rsidR="00F255A8" w:rsidRPr="00076CBA">
        <w:rPr>
          <w:sz w:val="28"/>
          <w:szCs w:val="28"/>
        </w:rPr>
        <w:t xml:space="preserve"> году</w:t>
      </w:r>
      <w:r w:rsidR="006B26D3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</w:t>
      </w:r>
      <w:proofErr w:type="gramStart"/>
      <w:r w:rsidR="00206401">
        <w:rPr>
          <w:sz w:val="28"/>
          <w:szCs w:val="28"/>
        </w:rPr>
        <w:t>р</w:t>
      </w:r>
      <w:r w:rsidRPr="00076CBA">
        <w:rPr>
          <w:sz w:val="28"/>
          <w:szCs w:val="28"/>
        </w:rPr>
        <w:t>азвития  Копейского</w:t>
      </w:r>
      <w:proofErr w:type="gramEnd"/>
      <w:r w:rsidRPr="00076CBA">
        <w:rPr>
          <w:sz w:val="28"/>
          <w:szCs w:val="28"/>
        </w:rPr>
        <w:t xml:space="preserve"> городского округа</w:t>
      </w:r>
      <w:r w:rsidR="006B26D3">
        <w:rPr>
          <w:sz w:val="28"/>
          <w:szCs w:val="28"/>
        </w:rPr>
        <w:t xml:space="preserve"> </w:t>
      </w:r>
      <w:r w:rsidRPr="00076CBA">
        <w:rPr>
          <w:sz w:val="28"/>
          <w:szCs w:val="28"/>
        </w:rPr>
        <w:t>до 20</w:t>
      </w:r>
      <w:r w:rsidR="005C1D66">
        <w:rPr>
          <w:sz w:val="28"/>
          <w:szCs w:val="28"/>
        </w:rPr>
        <w:t>35</w:t>
      </w:r>
      <w:r w:rsidRPr="00076CBA">
        <w:rPr>
          <w:sz w:val="28"/>
          <w:szCs w:val="28"/>
        </w:rPr>
        <w:t xml:space="preserve"> года </w:t>
      </w:r>
    </w:p>
    <w:p w:rsidR="001C6A8B" w:rsidRPr="00076CBA" w:rsidRDefault="001C6A8B" w:rsidP="00206401">
      <w:pPr>
        <w:spacing w:line="240" w:lineRule="auto"/>
        <w:rPr>
          <w:sz w:val="28"/>
          <w:szCs w:val="28"/>
        </w:rPr>
      </w:pPr>
    </w:p>
    <w:p w:rsidR="001C6A8B" w:rsidRDefault="001C6A8B" w:rsidP="00206401">
      <w:pPr>
        <w:spacing w:line="240" w:lineRule="auto"/>
        <w:rPr>
          <w:sz w:val="28"/>
          <w:szCs w:val="28"/>
        </w:rPr>
      </w:pPr>
    </w:p>
    <w:p w:rsidR="001C6A8B" w:rsidRDefault="001C6A8B" w:rsidP="00206401">
      <w:pPr>
        <w:spacing w:line="240" w:lineRule="auto"/>
        <w:rPr>
          <w:sz w:val="28"/>
          <w:szCs w:val="28"/>
        </w:rPr>
      </w:pPr>
    </w:p>
    <w:p w:rsidR="001C6A8B" w:rsidRPr="00076CBA" w:rsidRDefault="001C6A8B" w:rsidP="00206401">
      <w:pPr>
        <w:spacing w:line="240" w:lineRule="auto"/>
        <w:rPr>
          <w:sz w:val="28"/>
          <w:szCs w:val="28"/>
        </w:rPr>
      </w:pPr>
    </w:p>
    <w:p w:rsidR="00BF52C6" w:rsidRDefault="001C6A8B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ab/>
        <w:t>Заслушав и обсудив информацию о реализации в 20</w:t>
      </w:r>
      <w:r w:rsidR="00F13780">
        <w:rPr>
          <w:sz w:val="28"/>
          <w:szCs w:val="28"/>
        </w:rPr>
        <w:t>2</w:t>
      </w:r>
      <w:r w:rsidR="0058478A">
        <w:rPr>
          <w:sz w:val="28"/>
          <w:szCs w:val="28"/>
        </w:rPr>
        <w:t>3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</w:t>
      </w:r>
      <w:r w:rsidR="00BE0E1D">
        <w:rPr>
          <w:sz w:val="28"/>
          <w:szCs w:val="28"/>
        </w:rPr>
        <w:t xml:space="preserve">иально-экономического развития </w:t>
      </w:r>
      <w:r w:rsidRPr="00076CBA">
        <w:rPr>
          <w:sz w:val="28"/>
          <w:szCs w:val="28"/>
        </w:rPr>
        <w:t xml:space="preserve">Копейского городского округа до </w:t>
      </w:r>
      <w:r w:rsidR="005C1D66"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года,</w:t>
      </w:r>
    </w:p>
    <w:p w:rsidR="001C6A8B" w:rsidRPr="00076CBA" w:rsidRDefault="001C6A8B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Собрание депутатов Копейского городского округа </w:t>
      </w:r>
      <w:r w:rsidR="00BF52C6">
        <w:rPr>
          <w:sz w:val="28"/>
          <w:szCs w:val="28"/>
        </w:rPr>
        <w:t>Челябинской области</w:t>
      </w:r>
    </w:p>
    <w:p w:rsidR="001C6A8B" w:rsidRPr="00076CBA" w:rsidRDefault="001C6A8B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1C6A8B" w:rsidRPr="00076CBA" w:rsidRDefault="001C6A8B" w:rsidP="0020640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 w:rsidR="008E5594">
        <w:rPr>
          <w:sz w:val="28"/>
          <w:szCs w:val="28"/>
        </w:rPr>
        <w:t>ю информацию о реализации в 202</w:t>
      </w:r>
      <w:r w:rsidR="0058478A">
        <w:rPr>
          <w:sz w:val="28"/>
          <w:szCs w:val="28"/>
        </w:rPr>
        <w:t>3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Копейского городского округа до </w:t>
      </w:r>
      <w:r w:rsidR="005C1D66"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года.</w:t>
      </w:r>
    </w:p>
    <w:p w:rsidR="002F1654" w:rsidRDefault="001C6A8B" w:rsidP="0020640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>Собрания депутатов Копейского горо</w:t>
      </w:r>
      <w:r w:rsidR="002F1654">
        <w:rPr>
          <w:sz w:val="28"/>
          <w:szCs w:val="28"/>
        </w:rPr>
        <w:t>дского округа.</w:t>
      </w:r>
    </w:p>
    <w:p w:rsidR="002F1654" w:rsidRPr="00076CBA" w:rsidRDefault="002F1654" w:rsidP="0020640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1C6A8B" w:rsidRPr="00076CBA" w:rsidRDefault="001C6A8B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 xml:space="preserve">Председатель Собрания депутатов </w:t>
      </w:r>
    </w:p>
    <w:p w:rsidR="001C6A8B" w:rsidRPr="00076CBA" w:rsidRDefault="002F165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780">
        <w:rPr>
          <w:sz w:val="28"/>
          <w:szCs w:val="28"/>
        </w:rPr>
        <w:t xml:space="preserve">         Е.К. </w:t>
      </w:r>
      <w:proofErr w:type="spellStart"/>
      <w:r w:rsidR="00F13780">
        <w:rPr>
          <w:sz w:val="28"/>
          <w:szCs w:val="28"/>
        </w:rPr>
        <w:t>Гиске</w:t>
      </w:r>
      <w:proofErr w:type="spellEnd"/>
    </w:p>
    <w:p w:rsidR="001C6A8B" w:rsidRPr="00076CBA" w:rsidRDefault="001C6A8B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1C6A8B" w:rsidRPr="00076CBA" w:rsidRDefault="001C6A8B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1C6A8B" w:rsidRDefault="001C6A8B" w:rsidP="00D32CB7">
      <w:pPr>
        <w:tabs>
          <w:tab w:val="left" w:pos="993"/>
        </w:tabs>
        <w:jc w:val="both"/>
      </w:pPr>
    </w:p>
    <w:p w:rsidR="001C6A8B" w:rsidRDefault="001C6A8B" w:rsidP="00D32CB7">
      <w:pPr>
        <w:tabs>
          <w:tab w:val="left" w:pos="993"/>
        </w:tabs>
        <w:jc w:val="both"/>
      </w:pPr>
    </w:p>
    <w:p w:rsidR="001C6A8B" w:rsidRDefault="001C6A8B" w:rsidP="00D32CB7">
      <w:pPr>
        <w:tabs>
          <w:tab w:val="left" w:pos="993"/>
        </w:tabs>
        <w:jc w:val="both"/>
      </w:pPr>
    </w:p>
    <w:p w:rsidR="001C6A8B" w:rsidRDefault="001C6A8B" w:rsidP="00D32CB7">
      <w:pPr>
        <w:tabs>
          <w:tab w:val="left" w:pos="993"/>
        </w:tabs>
        <w:jc w:val="both"/>
      </w:pPr>
    </w:p>
    <w:p w:rsidR="001C6A8B" w:rsidRDefault="001C6A8B" w:rsidP="00D32CB7">
      <w:pPr>
        <w:sectPr w:rsidR="001C6A8B" w:rsidSect="00076CB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42601" w:rsidRPr="00D42601" w:rsidRDefault="00D42601" w:rsidP="00D42601">
      <w:pPr>
        <w:spacing w:line="240" w:lineRule="auto"/>
        <w:ind w:left="5245"/>
        <w:rPr>
          <w:szCs w:val="24"/>
        </w:rPr>
      </w:pPr>
      <w:r w:rsidRPr="00D42601">
        <w:rPr>
          <w:szCs w:val="24"/>
        </w:rPr>
        <w:lastRenderedPageBreak/>
        <w:t xml:space="preserve">Приложение </w:t>
      </w:r>
    </w:p>
    <w:p w:rsidR="00D42601" w:rsidRPr="00D42601" w:rsidRDefault="00D42601" w:rsidP="00D42601">
      <w:pPr>
        <w:spacing w:line="240" w:lineRule="auto"/>
        <w:ind w:left="5245"/>
        <w:rPr>
          <w:szCs w:val="24"/>
        </w:rPr>
      </w:pPr>
      <w:r w:rsidRPr="00D42601">
        <w:rPr>
          <w:szCs w:val="24"/>
        </w:rPr>
        <w:t>к решению Собрания депутатов Копейского городского округа Челябинской области</w:t>
      </w:r>
    </w:p>
    <w:p w:rsidR="00D42601" w:rsidRPr="00D42601" w:rsidRDefault="00D42601" w:rsidP="00D42601">
      <w:pPr>
        <w:spacing w:line="240" w:lineRule="auto"/>
        <w:ind w:left="5245"/>
        <w:rPr>
          <w:szCs w:val="24"/>
        </w:rPr>
      </w:pPr>
      <w:r w:rsidRPr="00D42601">
        <w:rPr>
          <w:szCs w:val="24"/>
        </w:rPr>
        <w:t xml:space="preserve">от </w:t>
      </w:r>
      <w:r w:rsidR="00BE0E1D">
        <w:rPr>
          <w:szCs w:val="24"/>
        </w:rPr>
        <w:t>26.06.2024</w:t>
      </w:r>
      <w:r w:rsidRPr="00D42601">
        <w:rPr>
          <w:szCs w:val="24"/>
        </w:rPr>
        <w:t xml:space="preserve"> № </w:t>
      </w:r>
      <w:r w:rsidR="00BE0E1D">
        <w:rPr>
          <w:szCs w:val="24"/>
        </w:rPr>
        <w:t>1108</w:t>
      </w:r>
    </w:p>
    <w:p w:rsidR="00D42601" w:rsidRPr="00D42601" w:rsidRDefault="00D42601" w:rsidP="00D42601">
      <w:pPr>
        <w:spacing w:line="240" w:lineRule="auto"/>
        <w:jc w:val="center"/>
        <w:rPr>
          <w:szCs w:val="24"/>
        </w:rPr>
      </w:pPr>
    </w:p>
    <w:p w:rsidR="00D42601" w:rsidRPr="00D42601" w:rsidRDefault="00D42601" w:rsidP="00D42601">
      <w:pPr>
        <w:spacing w:line="240" w:lineRule="auto"/>
        <w:ind w:firstLine="567"/>
        <w:jc w:val="center"/>
        <w:rPr>
          <w:szCs w:val="24"/>
        </w:rPr>
      </w:pPr>
    </w:p>
    <w:p w:rsidR="00D42601" w:rsidRPr="00D42601" w:rsidRDefault="00D42601" w:rsidP="00D42601">
      <w:pPr>
        <w:spacing w:line="240" w:lineRule="auto"/>
        <w:ind w:firstLine="567"/>
        <w:jc w:val="center"/>
        <w:rPr>
          <w:szCs w:val="24"/>
        </w:rPr>
      </w:pPr>
    </w:p>
    <w:p w:rsidR="00D42601" w:rsidRPr="00D42601" w:rsidRDefault="00D42601" w:rsidP="00D42601">
      <w:pPr>
        <w:spacing w:line="240" w:lineRule="auto"/>
        <w:jc w:val="center"/>
        <w:rPr>
          <w:szCs w:val="24"/>
        </w:rPr>
      </w:pPr>
      <w:r w:rsidRPr="00D42601">
        <w:rPr>
          <w:szCs w:val="24"/>
        </w:rPr>
        <w:t xml:space="preserve">Информация о реализации в 2023 году </w:t>
      </w:r>
    </w:p>
    <w:p w:rsidR="00D42601" w:rsidRPr="00D42601" w:rsidRDefault="00D42601" w:rsidP="00D42601">
      <w:pPr>
        <w:spacing w:line="240" w:lineRule="auto"/>
        <w:jc w:val="center"/>
        <w:rPr>
          <w:szCs w:val="24"/>
        </w:rPr>
      </w:pPr>
      <w:r w:rsidRPr="00D42601">
        <w:rPr>
          <w:szCs w:val="24"/>
        </w:rPr>
        <w:t xml:space="preserve">Стратегии социально-экономического развития  </w:t>
      </w:r>
    </w:p>
    <w:p w:rsidR="00D42601" w:rsidRPr="00D42601" w:rsidRDefault="00D42601" w:rsidP="00D42601">
      <w:pPr>
        <w:spacing w:line="240" w:lineRule="auto"/>
        <w:jc w:val="center"/>
        <w:rPr>
          <w:szCs w:val="24"/>
        </w:rPr>
      </w:pPr>
      <w:r w:rsidRPr="00D42601">
        <w:rPr>
          <w:szCs w:val="24"/>
        </w:rPr>
        <w:t>Копейского городского округа Челябинской области до 2035 года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  <w:r w:rsidRPr="00D42601">
        <w:rPr>
          <w:szCs w:val="24"/>
        </w:rPr>
        <w:t>Стратегия социально-экономического развития Копейского городского округа до 2035 года принята в новой редакции решением Собра</w:t>
      </w:r>
      <w:r w:rsidR="00BE0E1D">
        <w:rPr>
          <w:szCs w:val="24"/>
        </w:rPr>
        <w:t>ния депутатов городского округа</w:t>
      </w:r>
      <w:r w:rsidRPr="00D42601">
        <w:rPr>
          <w:szCs w:val="24"/>
        </w:rPr>
        <w:t xml:space="preserve"> от 30.11.2022 № 647-МО (далее – </w:t>
      </w:r>
      <w:proofErr w:type="gramStart"/>
      <w:r w:rsidRPr="00D42601">
        <w:rPr>
          <w:szCs w:val="24"/>
        </w:rPr>
        <w:t>Стратегия)  в</w:t>
      </w:r>
      <w:proofErr w:type="gramEnd"/>
      <w:r w:rsidRPr="00D42601">
        <w:rPr>
          <w:szCs w:val="24"/>
        </w:rPr>
        <w:t xml:space="preserve"> целях определения ориентиров и направлений дальнейшего развития города.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  <w:r w:rsidRPr="00D42601">
        <w:rPr>
          <w:szCs w:val="24"/>
        </w:rPr>
        <w:t>В Стратегии определены основные цели, задачи и параметры социально-экономического развития городского округа до 2035 года.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  <w:r w:rsidRPr="00D42601">
        <w:rPr>
          <w:szCs w:val="24"/>
        </w:rPr>
        <w:t>Администрацией городского округа</w:t>
      </w:r>
      <w:r w:rsidRPr="00D42601">
        <w:rPr>
          <w:vertAlign w:val="superscript"/>
        </w:rPr>
        <w:footnoteReference w:id="1"/>
      </w:r>
      <w:r w:rsidRPr="00D42601">
        <w:rPr>
          <w:szCs w:val="24"/>
        </w:rPr>
        <w:t>утверждён План реализации Стратегии Копейского городского округа до 2035 года, отчет об исполнении которого размещен на официальном сайте администрации городского округа (</w:t>
      </w:r>
      <w:hyperlink r:id="rId8" w:history="1">
        <w:r w:rsidRPr="00D42601">
          <w:rPr>
            <w:color w:val="0000FF"/>
            <w:u w:val="single"/>
            <w:lang w:val="en-US"/>
          </w:rPr>
          <w:t>www</w:t>
        </w:r>
        <w:r w:rsidRPr="00D42601">
          <w:rPr>
            <w:color w:val="0000FF"/>
            <w:u w:val="single"/>
          </w:rPr>
          <w:t>.</w:t>
        </w:r>
        <w:proofErr w:type="spellStart"/>
        <w:r w:rsidRPr="00D42601">
          <w:rPr>
            <w:color w:val="0000FF"/>
            <w:u w:val="single"/>
            <w:lang w:val="en-US"/>
          </w:rPr>
          <w:t>akgo</w:t>
        </w:r>
        <w:proofErr w:type="spellEnd"/>
        <w:r w:rsidRPr="00D42601">
          <w:rPr>
            <w:color w:val="0000FF"/>
            <w:u w:val="single"/>
          </w:rPr>
          <w:t>74.</w:t>
        </w:r>
        <w:proofErr w:type="spellStart"/>
        <w:r w:rsidRPr="00D42601">
          <w:rPr>
            <w:color w:val="0000FF"/>
            <w:u w:val="single"/>
            <w:lang w:val="en-US"/>
          </w:rPr>
          <w:t>ru</w:t>
        </w:r>
        <w:proofErr w:type="spellEnd"/>
      </w:hyperlink>
      <w:r w:rsidRPr="00D42601">
        <w:rPr>
          <w:szCs w:val="24"/>
        </w:rPr>
        <w:t xml:space="preserve"> /  Администрация / Стратегическое планирование / Стратегия 2035). 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  <w:r w:rsidRPr="00D42601">
        <w:rPr>
          <w:szCs w:val="24"/>
        </w:rPr>
        <w:t>В целях реализации Стратегии в 2023 году исполнялись37государственных, муниципальных и ведомственных целевых программ</w:t>
      </w:r>
      <w:r w:rsidR="00BE0E1D">
        <w:rPr>
          <w:szCs w:val="24"/>
        </w:rPr>
        <w:t xml:space="preserve"> </w:t>
      </w:r>
      <w:r w:rsidRPr="00D42601">
        <w:rPr>
          <w:szCs w:val="24"/>
        </w:rPr>
        <w:t>на общую сумму 6 млрд. 550 млн. рублей (94,5% от общего бюджета расходов городского округа). Отч</w:t>
      </w:r>
      <w:r w:rsidR="00BE0E1D">
        <w:rPr>
          <w:szCs w:val="24"/>
        </w:rPr>
        <w:t>еты об исполнении муниципальных</w:t>
      </w:r>
      <w:r w:rsidRPr="00D42601">
        <w:rPr>
          <w:szCs w:val="24"/>
        </w:rPr>
        <w:t xml:space="preserve"> пр</w:t>
      </w:r>
      <w:r w:rsidR="00BE0E1D">
        <w:rPr>
          <w:szCs w:val="24"/>
        </w:rPr>
        <w:t xml:space="preserve">ограмм и сводный годовой отчет </w:t>
      </w:r>
      <w:r w:rsidRPr="00D42601">
        <w:rPr>
          <w:szCs w:val="24"/>
        </w:rPr>
        <w:t>также размещены на официальном сайте администрации городского округа.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  <w:r w:rsidRPr="00D42601">
        <w:rPr>
          <w:szCs w:val="24"/>
        </w:rPr>
        <w:t xml:space="preserve">Все мероприятия, озвученные Главой городского </w:t>
      </w:r>
      <w:r w:rsidR="00BE0E1D">
        <w:rPr>
          <w:szCs w:val="24"/>
        </w:rPr>
        <w:t xml:space="preserve">округа </w:t>
      </w:r>
      <w:bookmarkStart w:id="0" w:name="_GoBack"/>
      <w:bookmarkEnd w:id="0"/>
      <w:r w:rsidRPr="00D42601">
        <w:rPr>
          <w:szCs w:val="24"/>
        </w:rPr>
        <w:t>в своем  отчете  перед Собранием депутатов городского округа в марте 2024 года  проводились в рамках муниципальных программ и Стратегии.</w:t>
      </w:r>
    </w:p>
    <w:p w:rsidR="00D42601" w:rsidRPr="00D42601" w:rsidRDefault="00BE0E1D" w:rsidP="00D4260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Сводный </w:t>
      </w:r>
      <w:r w:rsidR="00D42601" w:rsidRPr="00D42601">
        <w:rPr>
          <w:szCs w:val="24"/>
        </w:rPr>
        <w:t>коэффициент эффективности реализации муниципальных программ по городскому округу -  0,98 (высокая эффективность).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  <w:r w:rsidRPr="00D42601">
        <w:rPr>
          <w:szCs w:val="24"/>
        </w:rPr>
        <w:t>Стратегией определены ос</w:t>
      </w:r>
      <w:r w:rsidR="00BE0E1D">
        <w:rPr>
          <w:szCs w:val="24"/>
        </w:rPr>
        <w:t>новные индикативные показатели,</w:t>
      </w:r>
      <w:r w:rsidRPr="00D42601">
        <w:rPr>
          <w:szCs w:val="24"/>
        </w:rPr>
        <w:t xml:space="preserve"> исполнение которых представлено в таблицах 1 и 2.</w:t>
      </w:r>
    </w:p>
    <w:p w:rsidR="00D42601" w:rsidRPr="00D42601" w:rsidRDefault="00D42601" w:rsidP="00D42601">
      <w:pPr>
        <w:spacing w:line="240" w:lineRule="auto"/>
        <w:ind w:firstLine="567"/>
        <w:jc w:val="both"/>
        <w:rPr>
          <w:szCs w:val="24"/>
        </w:rPr>
      </w:pPr>
    </w:p>
    <w:p w:rsidR="00D42601" w:rsidRPr="00D42601" w:rsidRDefault="00D42601" w:rsidP="00D42601">
      <w:pPr>
        <w:spacing w:line="240" w:lineRule="auto"/>
        <w:rPr>
          <w:szCs w:val="24"/>
        </w:rPr>
      </w:pPr>
      <w:r w:rsidRPr="00D42601">
        <w:rPr>
          <w:szCs w:val="24"/>
        </w:rPr>
        <w:br w:type="page"/>
      </w:r>
      <w:r w:rsidRPr="00D42601">
        <w:rPr>
          <w:szCs w:val="24"/>
        </w:rPr>
        <w:lastRenderedPageBreak/>
        <w:t>Таблица 1.</w:t>
      </w:r>
    </w:p>
    <w:p w:rsidR="00D42601" w:rsidRPr="00D42601" w:rsidRDefault="00D42601" w:rsidP="00D42601">
      <w:pPr>
        <w:spacing w:line="240" w:lineRule="auto"/>
        <w:rPr>
          <w:szCs w:val="24"/>
        </w:rPr>
      </w:pPr>
      <w:r w:rsidRPr="00D42601">
        <w:rPr>
          <w:szCs w:val="24"/>
        </w:rPr>
        <w:t>Основные показатели социально-экономического развития Копейского городского округа</w:t>
      </w:r>
    </w:p>
    <w:p w:rsidR="00D42601" w:rsidRPr="00D42601" w:rsidRDefault="00D42601" w:rsidP="00D42601">
      <w:pPr>
        <w:spacing w:line="240" w:lineRule="auto"/>
        <w:rPr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984"/>
        <w:gridCol w:w="1562"/>
        <w:gridCol w:w="1273"/>
        <w:gridCol w:w="1276"/>
        <w:gridCol w:w="1559"/>
      </w:tblGrid>
      <w:tr w:rsidR="00D42601" w:rsidRPr="00D42601" w:rsidTr="006F6D89">
        <w:trPr>
          <w:trHeight w:val="375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выполнения</w:t>
            </w:r>
          </w:p>
        </w:tc>
      </w:tr>
      <w:tr w:rsidR="00D42601" w:rsidRPr="00D42601" w:rsidTr="006F6D89">
        <w:trPr>
          <w:trHeight w:val="37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42601" w:rsidRPr="00D42601" w:rsidTr="006F6D89">
        <w:trPr>
          <w:trHeight w:val="22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Среднегодовая численность постоянного населения, тыс. человек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тыс.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101,5%</w:t>
            </w:r>
          </w:p>
        </w:tc>
      </w:tr>
      <w:tr w:rsidR="00D42601" w:rsidRPr="00D42601" w:rsidTr="006F6D89">
        <w:trPr>
          <w:trHeight w:val="64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процентах 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99,8%</w:t>
            </w:r>
          </w:p>
        </w:tc>
      </w:tr>
      <w:tr w:rsidR="00D42601" w:rsidRPr="00D42601" w:rsidTr="006F6D89">
        <w:trPr>
          <w:trHeight w:val="227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38 853,7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60 193,4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154,9%</w:t>
            </w:r>
          </w:p>
        </w:tc>
      </w:tr>
      <w:tr w:rsidR="00D42601" w:rsidRPr="00D42601" w:rsidTr="006F6D89">
        <w:trPr>
          <w:trHeight w:val="97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процентах 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141,0</w:t>
            </w:r>
          </w:p>
        </w:tc>
      </w:tr>
      <w:tr w:rsidR="00D42601" w:rsidRPr="00D42601" w:rsidTr="006F6D89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Индекс производства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процентах  к предыдущему году в сопоставимых ценах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136,5%</w:t>
            </w:r>
          </w:p>
        </w:tc>
      </w:tr>
      <w:tr w:rsidR="00D42601" w:rsidRPr="00D42601" w:rsidTr="006F6D8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Оплата труда наемных работников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17 557,9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42601">
              <w:rPr>
                <w:rFonts w:eastAsia="Times New Roman"/>
                <w:sz w:val="22"/>
                <w:lang w:eastAsia="ru-RU"/>
              </w:rPr>
              <w:t xml:space="preserve">21 037,5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119,8%</w:t>
            </w:r>
          </w:p>
        </w:tc>
      </w:tr>
      <w:tr w:rsidR="00D42601" w:rsidRPr="00D42601" w:rsidTr="006F6D8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Фонд заработной платы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16 156,9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42601">
              <w:rPr>
                <w:rFonts w:eastAsia="Times New Roman"/>
                <w:sz w:val="22"/>
                <w:lang w:eastAsia="ru-RU"/>
              </w:rPr>
              <w:t>19 258,4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119,2%</w:t>
            </w:r>
          </w:p>
        </w:tc>
      </w:tr>
      <w:tr w:rsidR="00D42601" w:rsidRPr="00D42601" w:rsidTr="006F6D8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Средняя заработная плата в экономике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44 583,1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42601">
              <w:rPr>
                <w:rFonts w:eastAsia="Times New Roman"/>
                <w:sz w:val="22"/>
                <w:lang w:eastAsia="ru-RU"/>
              </w:rPr>
              <w:t xml:space="preserve">53 495,6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120,0%</w:t>
            </w:r>
          </w:p>
        </w:tc>
      </w:tr>
      <w:tr w:rsidR="00D42601" w:rsidRPr="00D42601" w:rsidTr="006F6D8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42601">
              <w:rPr>
                <w:rFonts w:eastAsia="Times New Roman"/>
                <w:sz w:val="22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99,3%</w:t>
            </w:r>
          </w:p>
        </w:tc>
      </w:tr>
      <w:tr w:rsidR="00D42601" w:rsidRPr="00D42601" w:rsidTr="006F6D89">
        <w:trPr>
          <w:trHeight w:val="10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Объем продукции сельского хозяйства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5 486,0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5 591,1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101,9%</w:t>
            </w:r>
          </w:p>
        </w:tc>
      </w:tr>
      <w:tr w:rsidR="00D42601" w:rsidRPr="00D42601" w:rsidTr="006F6D89">
        <w:trPr>
          <w:trHeight w:val="96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процентах к предыдущему году в сопоставимых ценах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97,7%</w:t>
            </w:r>
          </w:p>
        </w:tc>
      </w:tr>
      <w:tr w:rsidR="00D42601" w:rsidRPr="00D42601" w:rsidTr="006F6D89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Объем инвестиций в основной капитал за счет всех источников финансирования по крупным и средним организациям,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2 822,3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7 570,0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268,2%</w:t>
            </w:r>
          </w:p>
        </w:tc>
      </w:tr>
      <w:tr w:rsidR="00D42601" w:rsidRPr="00D42601" w:rsidTr="006F6D89">
        <w:trPr>
          <w:trHeight w:val="509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процентах 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236,0%</w:t>
            </w:r>
          </w:p>
        </w:tc>
      </w:tr>
      <w:tr w:rsidR="00D42601" w:rsidRPr="00D42601" w:rsidTr="006F6D89">
        <w:trPr>
          <w:trHeight w:val="1003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процентах к предыдущему году в сопоставимых ценах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231,6%</w:t>
            </w:r>
          </w:p>
        </w:tc>
      </w:tr>
      <w:tr w:rsidR="00D42601" w:rsidRPr="00D42601" w:rsidTr="006F6D89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8 262,7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9 406,7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113,8%</w:t>
            </w:r>
          </w:p>
        </w:tc>
      </w:tr>
    </w:tbl>
    <w:p w:rsidR="00D42601" w:rsidRPr="00D42601" w:rsidRDefault="00D42601" w:rsidP="00D42601">
      <w:pPr>
        <w:spacing w:line="240" w:lineRule="auto"/>
        <w:jc w:val="center"/>
        <w:rPr>
          <w:szCs w:val="24"/>
        </w:rPr>
      </w:pPr>
    </w:p>
    <w:p w:rsidR="00D42601" w:rsidRPr="00D42601" w:rsidRDefault="00D42601" w:rsidP="00D42601">
      <w:pPr>
        <w:spacing w:line="240" w:lineRule="auto"/>
        <w:jc w:val="center"/>
        <w:rPr>
          <w:szCs w:val="24"/>
        </w:rPr>
      </w:pPr>
    </w:p>
    <w:p w:rsidR="00D42601" w:rsidRPr="00D42601" w:rsidRDefault="00D42601" w:rsidP="00D42601">
      <w:pPr>
        <w:spacing w:line="240" w:lineRule="auto"/>
        <w:rPr>
          <w:szCs w:val="24"/>
        </w:rPr>
      </w:pPr>
      <w:r w:rsidRPr="00D42601">
        <w:rPr>
          <w:szCs w:val="24"/>
        </w:rPr>
        <w:br w:type="page"/>
      </w:r>
      <w:r w:rsidRPr="00D42601">
        <w:rPr>
          <w:szCs w:val="24"/>
        </w:rPr>
        <w:lastRenderedPageBreak/>
        <w:t>Таблица 2. Основные показатели конечного результата, установленные на конец каждого года реализации Стратегии</w:t>
      </w:r>
    </w:p>
    <w:p w:rsidR="00D42601" w:rsidRPr="00D42601" w:rsidRDefault="00D42601" w:rsidP="00D42601">
      <w:pPr>
        <w:spacing w:line="240" w:lineRule="auto"/>
        <w:rPr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560"/>
        <w:gridCol w:w="1275"/>
        <w:gridCol w:w="1276"/>
        <w:gridCol w:w="1559"/>
      </w:tblGrid>
      <w:tr w:rsidR="00D42601" w:rsidRPr="00D42601" w:rsidTr="006F6D89">
        <w:trPr>
          <w:trHeight w:val="45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Наименование показателя /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Единица измерения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исполнения</w:t>
            </w:r>
          </w:p>
        </w:tc>
      </w:tr>
      <w:tr w:rsidR="00D42601" w:rsidRPr="00D42601" w:rsidTr="006F6D89">
        <w:trPr>
          <w:trHeight w:val="31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42601" w:rsidRPr="00D42601" w:rsidTr="006F6D89">
        <w:trPr>
          <w:trHeight w:val="73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Направление 1. Развитие экономики Копейского городского округа. Повышение инвестиционной привлекательности города.   Формирование цифровой инфраструктуры экономики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ед.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107,0%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Средняя заработная плата по городскому округу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рубли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44 583,1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53 495,6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120,0%</w:t>
            </w:r>
          </w:p>
        </w:tc>
      </w:tr>
      <w:tr w:rsidR="00D42601" w:rsidRPr="00D42601" w:rsidTr="006F6D89">
        <w:trPr>
          <w:trHeight w:val="8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Реальный рост заработной 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процент к </w:t>
            </w:r>
            <w:proofErr w:type="spellStart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пред.году</w:t>
            </w:r>
            <w:proofErr w:type="spellEnd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117,3%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зарегистрированной безработицы*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195,1%</w:t>
            </w:r>
          </w:p>
        </w:tc>
      </w:tr>
      <w:tr w:rsidR="00D42601" w:rsidRPr="00D42601" w:rsidTr="006F6D89">
        <w:trPr>
          <w:trHeight w:val="327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Направление 2. Жилищно-коммунальное хозяйство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удовлетворённости населения  качеством  предоставления жилищно-коммунальных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102%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Удельный вес населения с доступом к водоснабжению и централизованному водоотведению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газификации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многоквартирных домов, собственники помещений в которых реализовали свое право по выбору способа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81,4</w:t>
            </w:r>
            <w:r w:rsidRPr="00D42601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84,2%</w:t>
            </w:r>
          </w:p>
        </w:tc>
      </w:tr>
      <w:tr w:rsidR="00D42601" w:rsidRPr="00D42601" w:rsidTr="006F6D89">
        <w:trPr>
          <w:trHeight w:val="372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Направление 3. </w:t>
            </w:r>
            <w:proofErr w:type="spellStart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Градорегулирование</w:t>
            </w:r>
            <w:proofErr w:type="spellEnd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, организация городского пространства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тыс. кв. 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99,649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186,6%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Средняя обеспеченность населения жильем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кв. м. на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98,5%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Срок ликвидации аварийного и непригодного для проживания жилищного фонда от даты признания его таковым*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75,0%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Индекс качества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180</w:t>
            </w:r>
            <w:r w:rsidRPr="00D42601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94,2%</w:t>
            </w:r>
          </w:p>
        </w:tc>
      </w:tr>
      <w:tr w:rsidR="00D42601" w:rsidRPr="00D42601" w:rsidTr="006F6D89">
        <w:trPr>
          <w:trHeight w:val="2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удовлетворенности населения благоустройством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117,3%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Удовлетворенность населения состоянием </w:t>
            </w:r>
            <w:proofErr w:type="spellStart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внутридворовых</w:t>
            </w:r>
            <w:proofErr w:type="spellEnd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 территорий (дорог, проездов, тротуаров)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84,3%</w:t>
            </w:r>
          </w:p>
        </w:tc>
      </w:tr>
      <w:tr w:rsidR="00D42601" w:rsidRPr="00D42601" w:rsidTr="006F6D89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Доля жителей города в возрасте старше 14 лет, принявших участие с использованием цифровых технологий в принятии решений по вопросам городского развития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100%</w:t>
            </w:r>
          </w:p>
        </w:tc>
      </w:tr>
      <w:tr w:rsidR="00D42601" w:rsidRPr="00D42601" w:rsidTr="006F6D89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Направление 4. Экология </w:t>
            </w:r>
          </w:p>
        </w:tc>
      </w:tr>
      <w:tr w:rsidR="00D42601" w:rsidRPr="00D42601" w:rsidTr="006F6D89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Коэффициент качества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коэффициент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D42601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footnoteReference w:id="4"/>
            </w:r>
          </w:p>
        </w:tc>
      </w:tr>
      <w:tr w:rsidR="00D42601" w:rsidRPr="00D42601" w:rsidTr="006F6D89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Обеспеченность контейнерным сбором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100,5%</w:t>
            </w:r>
          </w:p>
        </w:tc>
      </w:tr>
      <w:tr w:rsidR="00D42601" w:rsidRPr="00D42601" w:rsidTr="006F6D89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Обеспеченность контейнерными площадками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109,3%</w:t>
            </w:r>
          </w:p>
        </w:tc>
      </w:tr>
      <w:tr w:rsidR="00D42601" w:rsidRPr="00D42601" w:rsidTr="006F6D89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Направление 5. Социальная сфера 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98,1%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Охват детей в возрасте от 1 года до 7 лет дошкольным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101,7%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Охват детей в возрасте от 5 года до 18 лет программами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112,4%</w:t>
            </w:r>
          </w:p>
        </w:tc>
      </w:tr>
      <w:tr w:rsidR="00D42601" w:rsidRPr="00D42601" w:rsidTr="006F6D89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Удельный вес численности обучающихся, занимающихся в первую смену в общеобразовательных организациях, расположенных на территории городского округа в общей численности обучающихся в общеобразовательных организациях, расположенных на территории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92,4%</w:t>
            </w:r>
          </w:p>
        </w:tc>
      </w:tr>
      <w:tr w:rsidR="00D42601" w:rsidRPr="00D42601" w:rsidTr="006F6D89">
        <w:trPr>
          <w:trHeight w:val="17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Доля муниципальных общеобразовательных организаций, в которых создана </w:t>
            </w:r>
            <w:proofErr w:type="spellStart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безбарьерная</w:t>
            </w:r>
            <w:proofErr w:type="spellEnd"/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 среда для получения детьми-инвалидами и детьми с ОВЗ качественного образования, в обще количестве муниципальных 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100%</w:t>
            </w:r>
          </w:p>
        </w:tc>
      </w:tr>
      <w:tr w:rsidR="00D42601" w:rsidRPr="00D42601" w:rsidTr="006F6D89">
        <w:trPr>
          <w:trHeight w:val="2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зданий муниципальных общеобразовательных организаций, находящихся в аварийном  состоянии и  требующих капитального ремонта*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33,3%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94,8*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Доля населения, охваченного профилактическими осмотрами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49,4</w:t>
            </w:r>
            <w:r w:rsidRPr="00D42601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159,4%</w:t>
            </w:r>
          </w:p>
        </w:tc>
      </w:tr>
      <w:tr w:rsidR="00D42601" w:rsidRPr="00D42601" w:rsidTr="006F6D89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Коэффициент смертности*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чел.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113,6%</w:t>
            </w:r>
          </w:p>
        </w:tc>
      </w:tr>
      <w:tr w:rsidR="00D42601" w:rsidRPr="00D42601" w:rsidTr="006F6D89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Коэффициент рождаемости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чел.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98,9%</w:t>
            </w:r>
          </w:p>
        </w:tc>
      </w:tr>
      <w:tr w:rsidR="00D42601" w:rsidRPr="00D42601" w:rsidTr="006F6D89">
        <w:trPr>
          <w:trHeight w:val="5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Коэффициент младенческой смертности*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чел.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111,5%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72,0%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Охват населения услугами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153,2%</w:t>
            </w:r>
          </w:p>
        </w:tc>
      </w:tr>
      <w:tr w:rsidR="00D42601" w:rsidRPr="00D42601" w:rsidTr="006F6D89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объектов культурного наследия, находящихся в муниципальной собственности и находящихся в удовлетворительном состоянии от общего количества объектов культурного наследия, находящихся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85%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зданий учреждений культуры, находящихся в аварийном  состоянии и  требующих капитального ремонта*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145,2%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социальной защиты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95,8%</w:t>
            </w:r>
          </w:p>
        </w:tc>
      </w:tr>
      <w:tr w:rsidR="00D42601" w:rsidRPr="00D42601" w:rsidTr="006F6D89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объема выплаченных сумм на меры социальной поддержки от объема начисленных сумм на меры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D42601" w:rsidRPr="00D42601" w:rsidTr="006F6D89">
        <w:trPr>
          <w:trHeight w:val="4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Удельный вес семей, получающих субсидию на оплату жилого помещения и коммунальных услуг, в общем объеме обратившихся семей, имеющих право  на ее назначение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D42601" w:rsidRPr="00D42601" w:rsidTr="006F6D89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D42601" w:rsidRPr="00D42601" w:rsidTr="006F6D89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социальной защиты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D42601" w:rsidRPr="00D42601" w:rsidTr="006F6D89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социальной защиты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100,0</w:t>
            </w:r>
          </w:p>
        </w:tc>
      </w:tr>
      <w:tr w:rsidR="00D42601" w:rsidRPr="00D42601" w:rsidTr="006F6D89">
        <w:trPr>
          <w:trHeight w:val="40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Направление 6. Муниципальное управление 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Удовлетворенность деятельностью главы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115,0%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Доверие главе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45,54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47,35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104,0%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Удовлетворенность деятельностью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105,3%</w:t>
            </w:r>
          </w:p>
        </w:tc>
      </w:tr>
      <w:tr w:rsidR="00D42601" w:rsidRPr="00D42601" w:rsidTr="006F6D8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Удовлетворенность деятельностью Собрания депутатов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98,1%</w:t>
            </w:r>
          </w:p>
        </w:tc>
      </w:tr>
      <w:tr w:rsidR="00D42601" w:rsidRPr="00D42601" w:rsidTr="006F6D89">
        <w:trPr>
          <w:trHeight w:val="48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Направление 7. Государственная, общественная и информационная безопасность  </w:t>
            </w:r>
          </w:p>
        </w:tc>
      </w:tr>
      <w:tr w:rsidR="00D42601" w:rsidRPr="00D42601" w:rsidTr="006F6D89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Число лиц, погибших в ДТП*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чел. на                    10 000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54,5%</w:t>
            </w:r>
          </w:p>
        </w:tc>
      </w:tr>
      <w:tr w:rsidR="00D42601" w:rsidRPr="00D42601" w:rsidTr="006F6D89">
        <w:trPr>
          <w:trHeight w:val="1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 xml:space="preserve">Уровень преступности*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кол-во зарегистрированных преступлений  на  10 000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106,3%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Число лиц, погибших на водных объектах*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42601" w:rsidRPr="00D42601" w:rsidTr="006F6D8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Число лиц, погибших на пожарах*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01" w:rsidRPr="00D42601" w:rsidRDefault="00D42601" w:rsidP="00D426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42601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</w:tr>
    </w:tbl>
    <w:p w:rsidR="00D42601" w:rsidRPr="00D42601" w:rsidRDefault="00D42601" w:rsidP="00D42601">
      <w:pPr>
        <w:spacing w:line="240" w:lineRule="auto"/>
        <w:jc w:val="center"/>
        <w:rPr>
          <w:szCs w:val="24"/>
        </w:rPr>
      </w:pPr>
    </w:p>
    <w:p w:rsidR="00D42601" w:rsidRPr="00D42601" w:rsidRDefault="00D42601" w:rsidP="00D42601">
      <w:pPr>
        <w:tabs>
          <w:tab w:val="left" w:pos="3140"/>
        </w:tabs>
        <w:spacing w:line="240" w:lineRule="auto"/>
        <w:rPr>
          <w:sz w:val="20"/>
          <w:szCs w:val="20"/>
        </w:rPr>
      </w:pPr>
      <w:r w:rsidRPr="00D42601">
        <w:rPr>
          <w:sz w:val="20"/>
          <w:szCs w:val="20"/>
        </w:rPr>
        <w:t>* - обратная зависимость коэффициентов</w:t>
      </w:r>
    </w:p>
    <w:p w:rsidR="00D42601" w:rsidRPr="00D42601" w:rsidRDefault="00D42601" w:rsidP="00D42601">
      <w:pPr>
        <w:tabs>
          <w:tab w:val="left" w:pos="3140"/>
        </w:tabs>
        <w:spacing w:line="240" w:lineRule="auto"/>
        <w:ind w:left="284"/>
        <w:jc w:val="center"/>
        <w:rPr>
          <w:szCs w:val="24"/>
        </w:rPr>
      </w:pPr>
    </w:p>
    <w:p w:rsidR="00D42601" w:rsidRPr="00D42601" w:rsidRDefault="00D42601" w:rsidP="00D42601">
      <w:pPr>
        <w:spacing w:line="240" w:lineRule="auto"/>
        <w:jc w:val="both"/>
        <w:rPr>
          <w:szCs w:val="24"/>
        </w:rPr>
      </w:pPr>
    </w:p>
    <w:p w:rsidR="00D42601" w:rsidRPr="00D42601" w:rsidRDefault="00D42601" w:rsidP="00D42601">
      <w:pPr>
        <w:spacing w:line="240" w:lineRule="auto"/>
        <w:jc w:val="both"/>
        <w:rPr>
          <w:szCs w:val="24"/>
        </w:rPr>
      </w:pPr>
    </w:p>
    <w:p w:rsidR="00D42601" w:rsidRPr="00D42601" w:rsidRDefault="00D42601" w:rsidP="00D42601">
      <w:pPr>
        <w:spacing w:line="240" w:lineRule="auto"/>
        <w:jc w:val="both"/>
        <w:rPr>
          <w:szCs w:val="24"/>
        </w:rPr>
      </w:pPr>
      <w:r w:rsidRPr="00D42601">
        <w:rPr>
          <w:szCs w:val="24"/>
        </w:rPr>
        <w:t>Заместитель Главы городского округа</w:t>
      </w:r>
    </w:p>
    <w:p w:rsidR="00D42601" w:rsidRPr="00D42601" w:rsidRDefault="00D42601" w:rsidP="00D42601">
      <w:pPr>
        <w:spacing w:line="240" w:lineRule="auto"/>
        <w:jc w:val="both"/>
      </w:pPr>
      <w:r w:rsidRPr="00D42601">
        <w:rPr>
          <w:szCs w:val="24"/>
        </w:rPr>
        <w:t>по финансам и экономике</w:t>
      </w:r>
      <w:r w:rsidRPr="00D42601">
        <w:rPr>
          <w:szCs w:val="24"/>
        </w:rPr>
        <w:tab/>
      </w:r>
      <w:r w:rsidRPr="00D42601">
        <w:rPr>
          <w:szCs w:val="24"/>
        </w:rPr>
        <w:tab/>
      </w:r>
      <w:r w:rsidRPr="00D42601">
        <w:rPr>
          <w:szCs w:val="24"/>
        </w:rPr>
        <w:tab/>
      </w:r>
      <w:r w:rsidRPr="00D42601">
        <w:rPr>
          <w:szCs w:val="24"/>
        </w:rPr>
        <w:tab/>
      </w:r>
      <w:r w:rsidRPr="00D42601">
        <w:rPr>
          <w:szCs w:val="24"/>
        </w:rPr>
        <w:tab/>
      </w:r>
      <w:r w:rsidRPr="00D42601">
        <w:rPr>
          <w:szCs w:val="24"/>
        </w:rPr>
        <w:tab/>
      </w:r>
      <w:r w:rsidRPr="00D42601">
        <w:rPr>
          <w:szCs w:val="24"/>
        </w:rPr>
        <w:tab/>
      </w:r>
      <w:r w:rsidRPr="00D42601">
        <w:rPr>
          <w:szCs w:val="24"/>
        </w:rPr>
        <w:tab/>
        <w:t xml:space="preserve">       О.М. </w:t>
      </w:r>
      <w:proofErr w:type="spellStart"/>
      <w:r w:rsidRPr="00D42601">
        <w:rPr>
          <w:szCs w:val="24"/>
        </w:rPr>
        <w:t>Пескова</w:t>
      </w:r>
      <w:proofErr w:type="spellEnd"/>
    </w:p>
    <w:p w:rsidR="001C6A8B" w:rsidRDefault="001C6A8B" w:rsidP="00D42601">
      <w:pPr>
        <w:rPr>
          <w:lang w:eastAsia="ru-RU"/>
        </w:rPr>
      </w:pPr>
    </w:p>
    <w:sectPr w:rsidR="001C6A8B" w:rsidSect="00C40FAC">
      <w:headerReference w:type="default" r:id="rId9"/>
      <w:pgSz w:w="11906" w:h="16838" w:code="9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20" w:rsidRDefault="00DB7920" w:rsidP="00D42601">
      <w:pPr>
        <w:spacing w:line="240" w:lineRule="auto"/>
      </w:pPr>
      <w:r>
        <w:separator/>
      </w:r>
    </w:p>
  </w:endnote>
  <w:endnote w:type="continuationSeparator" w:id="0">
    <w:p w:rsidR="00DB7920" w:rsidRDefault="00DB7920" w:rsidP="00D42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20" w:rsidRDefault="00DB7920" w:rsidP="00D42601">
      <w:pPr>
        <w:spacing w:line="240" w:lineRule="auto"/>
      </w:pPr>
      <w:r>
        <w:separator/>
      </w:r>
    </w:p>
  </w:footnote>
  <w:footnote w:type="continuationSeparator" w:id="0">
    <w:p w:rsidR="00DB7920" w:rsidRDefault="00DB7920" w:rsidP="00D42601">
      <w:pPr>
        <w:spacing w:line="240" w:lineRule="auto"/>
      </w:pPr>
      <w:r>
        <w:continuationSeparator/>
      </w:r>
    </w:p>
  </w:footnote>
  <w:footnote w:id="1">
    <w:p w:rsidR="00D42601" w:rsidRDefault="00D42601" w:rsidP="00D42601">
      <w:pPr>
        <w:pStyle w:val="a9"/>
      </w:pPr>
      <w:r>
        <w:rPr>
          <w:rStyle w:val="ad"/>
        </w:rPr>
        <w:footnoteRef/>
      </w:r>
      <w:r>
        <w:t>Постановление администрации Копейского городского округа от 20.10.2023 № 813-р</w:t>
      </w:r>
    </w:p>
  </w:footnote>
  <w:footnote w:id="2">
    <w:p w:rsidR="00D42601" w:rsidRDefault="00D42601" w:rsidP="00D42601">
      <w:pPr>
        <w:pStyle w:val="a9"/>
        <w:jc w:val="both"/>
      </w:pPr>
      <w:r>
        <w:rPr>
          <w:rStyle w:val="ad"/>
        </w:rPr>
        <w:footnoteRef/>
      </w:r>
      <w:r w:rsidRPr="00A25E6E">
        <w:t xml:space="preserve">Из 1309 МКД в собственники 1065 МКД реализовали свое право по выбору способу управления (непосредственное управление собственниками помещений – 350 МКД; управление ТСЖ, ТСН и ЖСК – 47 МКД; управление управляющими организациями – 668 МКД). В отношении 244 МКД администрацией городского </w:t>
      </w:r>
      <w:proofErr w:type="gramStart"/>
      <w:r w:rsidRPr="00A25E6E">
        <w:t>округа  по</w:t>
      </w:r>
      <w:proofErr w:type="gramEnd"/>
      <w:r w:rsidRPr="00A25E6E">
        <w:t xml:space="preserve"> мере необходимости  проводится процедура определения  временной управляющая организации по результатам открытого конкурса</w:t>
      </w:r>
    </w:p>
  </w:footnote>
  <w:footnote w:id="3">
    <w:p w:rsidR="00D42601" w:rsidRDefault="00D42601" w:rsidP="00D42601">
      <w:pPr>
        <w:pStyle w:val="a9"/>
      </w:pPr>
      <w:r>
        <w:rPr>
          <w:rStyle w:val="ad"/>
        </w:rPr>
        <w:footnoteRef/>
      </w:r>
      <w:r>
        <w:t xml:space="preserve"> Данные за 2023 год, опубликованные на сайте </w:t>
      </w:r>
      <w:r w:rsidRPr="00A25E6E">
        <w:t>https://индекс-городов.рф/#/</w:t>
      </w:r>
    </w:p>
  </w:footnote>
  <w:footnote w:id="4">
    <w:p w:rsidR="00D42601" w:rsidRDefault="00D42601" w:rsidP="00D42601">
      <w:pPr>
        <w:pStyle w:val="a9"/>
      </w:pPr>
      <w:r>
        <w:rPr>
          <w:rStyle w:val="ad"/>
        </w:rPr>
        <w:footnoteRef/>
      </w:r>
      <w:r>
        <w:t xml:space="preserve"> Изменилась методика расчета показателя</w:t>
      </w:r>
    </w:p>
  </w:footnote>
  <w:footnote w:id="5">
    <w:p w:rsidR="00D42601" w:rsidRDefault="00D42601" w:rsidP="00D42601">
      <w:pPr>
        <w:pStyle w:val="a9"/>
      </w:pPr>
      <w:r>
        <w:rPr>
          <w:rStyle w:val="ad"/>
        </w:rPr>
        <w:footnoteRef/>
      </w:r>
      <w:r w:rsidRPr="00A25E6E">
        <w:t>указаны суммарные данные о доле населения, прошедшего диспансеризацию и профилактические осмотры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39" w:rsidRPr="00921AE5" w:rsidRDefault="004E3FFC">
    <w:pPr>
      <w:pStyle w:val="ab"/>
      <w:jc w:val="center"/>
      <w:rPr>
        <w:sz w:val="20"/>
        <w:szCs w:val="20"/>
      </w:rPr>
    </w:pPr>
    <w:r w:rsidRPr="00921AE5">
      <w:rPr>
        <w:sz w:val="20"/>
        <w:szCs w:val="20"/>
      </w:rPr>
      <w:fldChar w:fldCharType="begin"/>
    </w:r>
    <w:r w:rsidR="006C5472" w:rsidRPr="00921AE5">
      <w:rPr>
        <w:sz w:val="20"/>
        <w:szCs w:val="20"/>
      </w:rPr>
      <w:instrText>PAGE   \* MERGEFORMAT</w:instrText>
    </w:r>
    <w:r w:rsidRPr="00921AE5">
      <w:rPr>
        <w:sz w:val="20"/>
        <w:szCs w:val="20"/>
      </w:rPr>
      <w:fldChar w:fldCharType="separate"/>
    </w:r>
    <w:r w:rsidR="00BE0E1D">
      <w:rPr>
        <w:noProof/>
        <w:sz w:val="20"/>
        <w:szCs w:val="20"/>
      </w:rPr>
      <w:t>7</w:t>
    </w:r>
    <w:r w:rsidRPr="00921AE5">
      <w:rPr>
        <w:sz w:val="20"/>
        <w:szCs w:val="20"/>
      </w:rPr>
      <w:fldChar w:fldCharType="end"/>
    </w:r>
  </w:p>
  <w:p w:rsidR="00F52B39" w:rsidRDefault="00DB79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6"/>
  </w:num>
  <w:num w:numId="5">
    <w:abstractNumId w:val="6"/>
  </w:num>
  <w:num w:numId="6">
    <w:abstractNumId w:val="9"/>
  </w:num>
  <w:num w:numId="7">
    <w:abstractNumId w:val="18"/>
  </w:num>
  <w:num w:numId="8">
    <w:abstractNumId w:val="11"/>
  </w:num>
  <w:num w:numId="9">
    <w:abstractNumId w:val="21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  <w:num w:numId="19">
    <w:abstractNumId w:val="17"/>
  </w:num>
  <w:num w:numId="20">
    <w:abstractNumId w:val="10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2CB7"/>
    <w:rsid w:val="00004121"/>
    <w:rsid w:val="0001238F"/>
    <w:rsid w:val="00031C4F"/>
    <w:rsid w:val="00076CBA"/>
    <w:rsid w:val="0008500E"/>
    <w:rsid w:val="000A0AD1"/>
    <w:rsid w:val="000F3247"/>
    <w:rsid w:val="00100EFB"/>
    <w:rsid w:val="00111143"/>
    <w:rsid w:val="001573B4"/>
    <w:rsid w:val="00191660"/>
    <w:rsid w:val="001C63E2"/>
    <w:rsid w:val="001C6A8B"/>
    <w:rsid w:val="001D0E91"/>
    <w:rsid w:val="001D62C9"/>
    <w:rsid w:val="00206401"/>
    <w:rsid w:val="00254CBA"/>
    <w:rsid w:val="00264C75"/>
    <w:rsid w:val="00276CF3"/>
    <w:rsid w:val="00280238"/>
    <w:rsid w:val="002858F0"/>
    <w:rsid w:val="0028700E"/>
    <w:rsid w:val="002C3429"/>
    <w:rsid w:val="002C4DE8"/>
    <w:rsid w:val="002F1654"/>
    <w:rsid w:val="002F6CD7"/>
    <w:rsid w:val="00324DAE"/>
    <w:rsid w:val="00324E2C"/>
    <w:rsid w:val="003277AE"/>
    <w:rsid w:val="0033723B"/>
    <w:rsid w:val="003D1FFB"/>
    <w:rsid w:val="003E03CF"/>
    <w:rsid w:val="003E5BD4"/>
    <w:rsid w:val="003F49E2"/>
    <w:rsid w:val="00417564"/>
    <w:rsid w:val="004663E1"/>
    <w:rsid w:val="004878A6"/>
    <w:rsid w:val="0049012C"/>
    <w:rsid w:val="00492284"/>
    <w:rsid w:val="004B1A0F"/>
    <w:rsid w:val="004D00A0"/>
    <w:rsid w:val="004E3FFC"/>
    <w:rsid w:val="004E587A"/>
    <w:rsid w:val="00501E56"/>
    <w:rsid w:val="00502976"/>
    <w:rsid w:val="0051374E"/>
    <w:rsid w:val="00522357"/>
    <w:rsid w:val="00537517"/>
    <w:rsid w:val="0058478A"/>
    <w:rsid w:val="005C0965"/>
    <w:rsid w:val="005C1D66"/>
    <w:rsid w:val="005C33ED"/>
    <w:rsid w:val="005D550E"/>
    <w:rsid w:val="005F146A"/>
    <w:rsid w:val="005F5628"/>
    <w:rsid w:val="00606700"/>
    <w:rsid w:val="006111D2"/>
    <w:rsid w:val="006157B4"/>
    <w:rsid w:val="006210EA"/>
    <w:rsid w:val="00661CEE"/>
    <w:rsid w:val="00666C8C"/>
    <w:rsid w:val="006A59B6"/>
    <w:rsid w:val="006B26D3"/>
    <w:rsid w:val="006B447A"/>
    <w:rsid w:val="006C0490"/>
    <w:rsid w:val="006C5472"/>
    <w:rsid w:val="006D30AC"/>
    <w:rsid w:val="006F3009"/>
    <w:rsid w:val="007079C9"/>
    <w:rsid w:val="00795E0D"/>
    <w:rsid w:val="00797235"/>
    <w:rsid w:val="007B0441"/>
    <w:rsid w:val="007D13AF"/>
    <w:rsid w:val="007D6135"/>
    <w:rsid w:val="008063AA"/>
    <w:rsid w:val="00815C21"/>
    <w:rsid w:val="00833F4E"/>
    <w:rsid w:val="00834E30"/>
    <w:rsid w:val="00863BAB"/>
    <w:rsid w:val="00886A09"/>
    <w:rsid w:val="00887A73"/>
    <w:rsid w:val="008D02DF"/>
    <w:rsid w:val="008E5594"/>
    <w:rsid w:val="008F06DD"/>
    <w:rsid w:val="00906BC6"/>
    <w:rsid w:val="009112F6"/>
    <w:rsid w:val="009916E7"/>
    <w:rsid w:val="009A4302"/>
    <w:rsid w:val="009A7A99"/>
    <w:rsid w:val="009A7B7B"/>
    <w:rsid w:val="009D05E3"/>
    <w:rsid w:val="009D0AD3"/>
    <w:rsid w:val="009D4417"/>
    <w:rsid w:val="009F4611"/>
    <w:rsid w:val="00A007AC"/>
    <w:rsid w:val="00A03A52"/>
    <w:rsid w:val="00AD1CC9"/>
    <w:rsid w:val="00B3553D"/>
    <w:rsid w:val="00B5474C"/>
    <w:rsid w:val="00B56210"/>
    <w:rsid w:val="00B620B9"/>
    <w:rsid w:val="00B77D5C"/>
    <w:rsid w:val="00BE0E1D"/>
    <w:rsid w:val="00BF52C6"/>
    <w:rsid w:val="00C36C70"/>
    <w:rsid w:val="00C44E1E"/>
    <w:rsid w:val="00CB290E"/>
    <w:rsid w:val="00CC5F56"/>
    <w:rsid w:val="00D05EC1"/>
    <w:rsid w:val="00D11164"/>
    <w:rsid w:val="00D17EE7"/>
    <w:rsid w:val="00D26588"/>
    <w:rsid w:val="00D32CB7"/>
    <w:rsid w:val="00D42601"/>
    <w:rsid w:val="00D465C8"/>
    <w:rsid w:val="00D9268C"/>
    <w:rsid w:val="00D92BC4"/>
    <w:rsid w:val="00DA2731"/>
    <w:rsid w:val="00DB7920"/>
    <w:rsid w:val="00DC1964"/>
    <w:rsid w:val="00DC4008"/>
    <w:rsid w:val="00E314A5"/>
    <w:rsid w:val="00E33F50"/>
    <w:rsid w:val="00E431A6"/>
    <w:rsid w:val="00E65741"/>
    <w:rsid w:val="00E86D77"/>
    <w:rsid w:val="00F13780"/>
    <w:rsid w:val="00F14630"/>
    <w:rsid w:val="00F255A8"/>
    <w:rsid w:val="00F27082"/>
    <w:rsid w:val="00F45CBD"/>
    <w:rsid w:val="00FB1141"/>
    <w:rsid w:val="00FC2F86"/>
    <w:rsid w:val="00FC6613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0940B"/>
  <w15:docId w15:val="{90BCCBF5-FD72-40AD-9C10-8EF85DB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C4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CB7"/>
    <w:pPr>
      <w:ind w:left="720"/>
      <w:contextualSpacing/>
    </w:pPr>
  </w:style>
  <w:style w:type="table" w:styleId="a4">
    <w:name w:val="Table Grid"/>
    <w:basedOn w:val="a1"/>
    <w:uiPriority w:val="99"/>
    <w:rsid w:val="00D3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a8">
    <w:name w:val="Emphasis"/>
    <w:qFormat/>
    <w:locked/>
    <w:rsid w:val="00DC4008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D42601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2601"/>
    <w:rPr>
      <w:lang w:eastAsia="en-US"/>
    </w:rPr>
  </w:style>
  <w:style w:type="paragraph" w:styleId="ab">
    <w:name w:val="header"/>
    <w:basedOn w:val="a"/>
    <w:link w:val="ac"/>
    <w:uiPriority w:val="99"/>
    <w:rsid w:val="00D426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2601"/>
    <w:rPr>
      <w:sz w:val="24"/>
      <w:szCs w:val="22"/>
      <w:lang w:eastAsia="en-US"/>
    </w:rPr>
  </w:style>
  <w:style w:type="character" w:styleId="ad">
    <w:name w:val="footnote reference"/>
    <w:uiPriority w:val="99"/>
    <w:semiHidden/>
    <w:unhideWhenUsed/>
    <w:rsid w:val="00D42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go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Дина Александровна</dc:creator>
  <cp:lastModifiedBy>User</cp:lastModifiedBy>
  <cp:revision>3</cp:revision>
  <cp:lastPrinted>2024-06-04T07:54:00Z</cp:lastPrinted>
  <dcterms:created xsi:type="dcterms:W3CDTF">2024-06-24T08:04:00Z</dcterms:created>
  <dcterms:modified xsi:type="dcterms:W3CDTF">2024-06-27T04:58:00Z</dcterms:modified>
</cp:coreProperties>
</file>