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0"/>
          <w:szCs w:val="30"/>
          <w:lang w:eastAsia="ru-RU"/>
        </w:rPr>
      </w:pPr>
      <w:r w:rsidRPr="00A67408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</w:p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4"/>
          <w:szCs w:val="44"/>
          <w:lang w:eastAsia="ru-RU"/>
        </w:rPr>
      </w:pPr>
      <w:r w:rsidRPr="0083753C">
        <w:rPr>
          <w:b/>
          <w:sz w:val="44"/>
          <w:szCs w:val="44"/>
          <w:lang w:eastAsia="ru-RU"/>
        </w:rPr>
        <w:t>РЕШЕНИЕ</w:t>
      </w:r>
    </w:p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30.04.2025</w:t>
      </w:r>
      <w:r>
        <w:rPr>
          <w:sz w:val="28"/>
          <w:szCs w:val="28"/>
          <w:lang w:eastAsia="ru-RU"/>
        </w:rPr>
        <w:tab/>
        <w:t xml:space="preserve">     1341</w:t>
      </w:r>
    </w:p>
    <w:p w:rsidR="00D6313F" w:rsidRPr="0083753C" w:rsidRDefault="00D6313F" w:rsidP="00B737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83753C">
        <w:rPr>
          <w:sz w:val="24"/>
          <w:szCs w:val="24"/>
          <w:lang w:eastAsia="ru-RU"/>
        </w:rPr>
        <w:t>от _______________№_____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44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программы «Развитие субъектов малого и среднего предпринимательства в Копейском городском округе Челябинской области»   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6313F" w:rsidRPr="00B2292A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информацию управления экономического развития администрации Копейского городского округа Челябинской области о ходе выполнения муниципальной программы «Развитие субъектов малого и среднего предпринимательства в Копейском городском округе Челябинской области»,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6313F" w:rsidRDefault="00D631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Информацию о ходе выполнения муниципальной программы «Развитие субъектов малого и среднего предпринимательства в Копейском городском округе Челябинской области» принять к сведению (прилагается). </w:t>
      </w:r>
    </w:p>
    <w:p w:rsidR="00D6313F" w:rsidRDefault="00D631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Копейского городского округа Челябинской области продолжить работу по выполнению муниципальной программы «Развитие субъектов малого и среднего предпринимательства в Копейском городском округе Челябинской области».</w:t>
      </w:r>
    </w:p>
    <w:p w:rsidR="00D6313F" w:rsidRDefault="00D6313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поручить постоянной комиссии по экономической, бюджетной и налоговой политике Собрания депутатов Копейского городского округа.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                            Е.К. Гиске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 w:val="28"/>
          <w:szCs w:val="27"/>
        </w:rPr>
      </w:pPr>
      <w:r>
        <w:rPr>
          <w:sz w:val="28"/>
          <w:szCs w:val="28"/>
        </w:rPr>
        <w:br w:type="page"/>
      </w:r>
      <w:r w:rsidRPr="00631335">
        <w:rPr>
          <w:bCs/>
          <w:sz w:val="28"/>
          <w:szCs w:val="27"/>
        </w:rPr>
        <w:t>ИНФОРМАЦИЯ</w:t>
      </w:r>
    </w:p>
    <w:p w:rsidR="00D6313F" w:rsidRPr="00631335" w:rsidRDefault="00D6313F" w:rsidP="00631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7"/>
        </w:rPr>
      </w:pPr>
      <w:r w:rsidRPr="00631335">
        <w:rPr>
          <w:sz w:val="28"/>
          <w:szCs w:val="27"/>
        </w:rPr>
        <w:t>о ходе выполнения муниципальной Программы развития субъектов малого и среднего предпринимательства в Копейском городском округе Челябинской области в 2024 году (далее – СМСП, городской округ)</w:t>
      </w:r>
    </w:p>
    <w:p w:rsidR="00D6313F" w:rsidRPr="00631335" w:rsidRDefault="00D6313F" w:rsidP="00631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7"/>
        </w:rPr>
      </w:pP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 xml:space="preserve">Малый бизнес – один из важнейших факторов экономического роста. Сегодня он решает многие социальные проблемы развития общества, создает новые рабочие места, расширяет круг предоставляемых товаров и услуг. На сегодняшний день малый бизнес является сдерживающим фактором роста безработицы.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6"/>
        </w:rPr>
      </w:pPr>
      <w:r w:rsidRPr="00631335">
        <w:rPr>
          <w:i/>
          <w:sz w:val="28"/>
          <w:szCs w:val="26"/>
        </w:rPr>
        <w:tab/>
      </w:r>
      <w:r w:rsidRPr="00631335">
        <w:rPr>
          <w:sz w:val="28"/>
          <w:szCs w:val="26"/>
        </w:rPr>
        <w:t xml:space="preserve">На 31.12.2024 количество СМСП составило 4414, в том числе малые предприятия – 69, средние предприятия – 5, микро предприятия – 966 индивидуальных предпринимателей – 3374. В 2024 году количество плательщиков налога на профессиональный доход составило – 10481.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</w:rPr>
      </w:pPr>
      <w:r w:rsidRPr="00631335">
        <w:rPr>
          <w:sz w:val="28"/>
          <w:szCs w:val="26"/>
        </w:rPr>
        <w:tab/>
        <w:t>В сравнении с 2023 годом наблюдается рост числа зарегистрированных СМСП с 4238 до 4414 (рост составил 176 субъекта), самозанятых с 5712 до 10481 (рост составил 4769).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С целью поддержки малого бизнеса в городском округе разработана муниципальная программа «Развитие малого и среднего предпринимательства в Копейском городском округе Челябинской области» (далее – Программа).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Программа предусматривает реализацию мероприятий по следующим направлениям:</w:t>
      </w:r>
    </w:p>
    <w:p w:rsidR="00D6313F" w:rsidRPr="00631335" w:rsidRDefault="00D6313F" w:rsidP="009753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b/>
          <w:sz w:val="28"/>
          <w:szCs w:val="27"/>
        </w:rPr>
      </w:pPr>
      <w:r w:rsidRPr="00631335">
        <w:rPr>
          <w:b/>
          <w:sz w:val="28"/>
          <w:szCs w:val="27"/>
        </w:rPr>
        <w:t>Совершенствование законодательства в сфере регулирования деятельности СМСП и устранение административных барьеров в сфере развития предпринимательства.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В рамках Программы по этому направлению реализованы следующие мероприятия:</w:t>
      </w:r>
    </w:p>
    <w:p w:rsidR="00D6313F" w:rsidRPr="00631335" w:rsidRDefault="00D6313F" w:rsidP="0097538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проведена оценка регулирующего воздействия 5</w:t>
      </w:r>
      <w:bookmarkStart w:id="0" w:name="_GoBack"/>
      <w:bookmarkEnd w:id="0"/>
      <w:r w:rsidRPr="00631335">
        <w:rPr>
          <w:sz w:val="28"/>
          <w:szCs w:val="27"/>
        </w:rPr>
        <w:t xml:space="preserve"> проектов муниципальных нормативных правовых актов (далее – ОРВ, МНПА), регулирующих вопросы, связанные с осуществлением предпринимательской деятельности.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Основной целью ОРВ проектов МНПА является выявление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бюджета городского округа.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Для проведения ОРВ администрация взаимодействует с:</w:t>
      </w:r>
    </w:p>
    <w:p w:rsidR="00D6313F" w:rsidRPr="00631335" w:rsidRDefault="00D6313F" w:rsidP="0097538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Уполномоченным по защите прав предпринимателей в Челябинской области;</w:t>
      </w:r>
    </w:p>
    <w:p w:rsidR="00D6313F" w:rsidRPr="00631335" w:rsidRDefault="00D6313F" w:rsidP="0097538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Южно-Уральской торгово-промышленной палатой;</w:t>
      </w:r>
    </w:p>
    <w:p w:rsidR="00D6313F" w:rsidRPr="00631335" w:rsidRDefault="00D6313F" w:rsidP="0097538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Копейским местным отделением ООО МиСП «ОПОРА РОССИИ»;</w:t>
      </w:r>
    </w:p>
    <w:p w:rsidR="00D6313F" w:rsidRPr="00631335" w:rsidRDefault="00D6313F" w:rsidP="00975382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индивидуальными предпринимателями.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С целью учета мнения предпринимателей и инвесторов, предоставления им возможности влиять на решения власти на официальном сайте администрации городского округа создан специальный раздел, в котором размещаются проекты МНПА и проводятся публичные консультации.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2) в целях защиты прав и законных интересов СМСП проводятся приемы общественным представителем Уполномоченного по защите прав предпринимателей в Челябинской области в г. Копейске.</w:t>
      </w:r>
    </w:p>
    <w:p w:rsidR="00D6313F" w:rsidRPr="00631335" w:rsidRDefault="00D6313F" w:rsidP="009753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b/>
          <w:sz w:val="28"/>
          <w:szCs w:val="27"/>
        </w:rPr>
      </w:pPr>
      <w:r w:rsidRPr="00631335">
        <w:rPr>
          <w:b/>
          <w:sz w:val="28"/>
          <w:szCs w:val="27"/>
        </w:rPr>
        <w:t>Финансовая поддержка.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>Финансовая поддержка предоставляется в виде субсидий на возмещение затрат: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>- по приобретению оборудования для создания и (или) развития, и (или) модернизации производства товаров, (работ, услуг), за исключением оборудования, предназначенного для осуществления оптовой и розничной торговой деятельности (для СМСП);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1134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>- самозанятых по приобретению инструмента, инвентаря, мебели, аренде, повышению квалификации.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В 2024 году объем финансирования программы составил 1603,77 тыс. руб., в том числе:</w:t>
      </w:r>
    </w:p>
    <w:p w:rsidR="00D6313F" w:rsidRPr="00631335" w:rsidRDefault="00D6313F" w:rsidP="0097538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124,67 тыс. руб. приобретение лицензионного программного обеспечения для мониторинга хозяйственной деятельности СМСП;</w:t>
      </w:r>
    </w:p>
    <w:p w:rsidR="00D6313F" w:rsidRPr="00631335" w:rsidRDefault="00D6313F" w:rsidP="0097538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792,76 тыс. руб. самозанятым;</w:t>
      </w:r>
    </w:p>
    <w:p w:rsidR="00D6313F" w:rsidRPr="00631335" w:rsidRDefault="00D6313F" w:rsidP="0097538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686,34 тыс. руб. на возмещение части затрат по приобретению оборудования для создания и (или) развития, и (или) модернизации производства товаров, (работ, услуг), за исключением оборудования, предназначенного для осуществления оптовой и розничной торговой деятельности.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Финансирование мероприятий программы осуществляется только за счет средств местного бюджета.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В соответствии с Положением о предоставления субсидий</w:t>
      </w:r>
      <w:r w:rsidRPr="00631335">
        <w:rPr>
          <w:sz w:val="28"/>
          <w:vertAlign w:val="superscript"/>
        </w:rPr>
        <w:footnoteReference w:id="1"/>
      </w:r>
      <w:r w:rsidRPr="00631335">
        <w:rPr>
          <w:sz w:val="28"/>
          <w:szCs w:val="27"/>
        </w:rPr>
        <w:t>, субсидии СМСП предоставляются на конкурсной основе предоставляются из расчета 50% от суммы затрат, но не более суммы уплаченных налоговых отчислений за год, предшествующий году обращения за субсидией и не могут превышать: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>- по приобретению оборудования - 300,0 тыс. руб.;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>- самозанятым - 100,0 тыс. руб.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В отчетном 2024 году предоставлено субсидий 3 субъектам предпринимательства и 9 самозанятым: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31335">
        <w:rPr>
          <w:color w:val="000000"/>
          <w:sz w:val="28"/>
          <w:szCs w:val="28"/>
        </w:rPr>
        <w:t>- ООО «Копейская швейная фабрика»;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31335">
        <w:rPr>
          <w:color w:val="000000"/>
          <w:sz w:val="28"/>
          <w:szCs w:val="28"/>
        </w:rPr>
        <w:t>- ООО ЧЛЗ «ВИТЧЛ»;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7"/>
        </w:rPr>
        <w:t xml:space="preserve">- </w:t>
      </w:r>
      <w:r w:rsidRPr="00631335">
        <w:rPr>
          <w:color w:val="000000"/>
          <w:sz w:val="28"/>
          <w:szCs w:val="28"/>
        </w:rPr>
        <w:t>ИП Гинтер Владимир Оттович;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631335">
        <w:rPr>
          <w:color w:val="000000"/>
          <w:sz w:val="28"/>
          <w:szCs w:val="28"/>
        </w:rPr>
        <w:t>- Коробова Венера Рейнатовна;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631335">
        <w:rPr>
          <w:color w:val="000000"/>
          <w:sz w:val="28"/>
          <w:szCs w:val="28"/>
        </w:rPr>
        <w:t>- Сизон Марина Михайловна;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631335">
        <w:rPr>
          <w:bCs/>
          <w:color w:val="000000"/>
          <w:sz w:val="28"/>
          <w:szCs w:val="28"/>
        </w:rPr>
        <w:t>- Васильченко Татьяна Ивановна</w:t>
      </w:r>
      <w:r w:rsidRPr="00631335">
        <w:rPr>
          <w:color w:val="000000"/>
          <w:sz w:val="28"/>
          <w:szCs w:val="28"/>
        </w:rPr>
        <w:t>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Хафизова Юлия Рейнатовна;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631335">
        <w:rPr>
          <w:bCs/>
          <w:color w:val="000000"/>
          <w:sz w:val="28"/>
          <w:szCs w:val="28"/>
        </w:rPr>
        <w:t>- Гуда Юлия Юрьевна;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Юкляевских Елена Владимировна;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Язев Дмитрий Владимирович;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/>
          <w:sz w:val="28"/>
          <w:szCs w:val="28"/>
        </w:rPr>
      </w:pPr>
      <w:r w:rsidRPr="00631335">
        <w:rPr>
          <w:bCs/>
          <w:color w:val="000000"/>
          <w:sz w:val="28"/>
          <w:szCs w:val="28"/>
        </w:rPr>
        <w:t>- Перевалов Александр Александрович.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Яковлев Роман Антонович.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  <w:highlight w:val="yellow"/>
        </w:rPr>
      </w:pPr>
      <w:r w:rsidRPr="00631335">
        <w:rPr>
          <w:sz w:val="28"/>
          <w:szCs w:val="27"/>
        </w:rPr>
        <w:t>Все заявители получили субсидии и представили в установленный срок отчет о фактически достигнутых показателях финансово-хозяйственной деятельности в 2024 году. В результате мониторинга отчетов прослеживается положительная динамика развития СМСП. Это сохранение 227 рабочих места, создание 1 нового рабочего мест, увеличение налоговых поступлений в бюджеты всех уровней (в сравнении с 2023 годом больше на 4,7млн руб.).</w:t>
      </w:r>
    </w:p>
    <w:p w:rsidR="00D6313F" w:rsidRPr="00631335" w:rsidRDefault="00D6313F" w:rsidP="009753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b/>
          <w:sz w:val="28"/>
          <w:szCs w:val="27"/>
        </w:rPr>
      </w:pPr>
      <w:r w:rsidRPr="00631335">
        <w:rPr>
          <w:b/>
          <w:sz w:val="28"/>
          <w:szCs w:val="27"/>
        </w:rPr>
        <w:t>Имущественная поддержка.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Имущественная поддержка для СМСП, самозанятых реализуется в виде:</w:t>
      </w:r>
    </w:p>
    <w:p w:rsidR="00D6313F" w:rsidRPr="00631335" w:rsidRDefault="00D6313F" w:rsidP="0097538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формирования и ведения перечня муниципального имущества, предназначенного для передачи во владение и (или) пользование СМСП (в указанный перечень включены 11 объектов муниципального имущества общей площадью </w:t>
      </w:r>
      <w:smartTag w:uri="urn:schemas-microsoft-com:office:smarttags" w:element="metricconverter">
        <w:smartTagPr>
          <w:attr w:name="ProductID" w:val="20822,5 м2"/>
        </w:smartTagPr>
        <w:r w:rsidRPr="00631335">
          <w:rPr>
            <w:sz w:val="28"/>
            <w:szCs w:val="27"/>
          </w:rPr>
          <w:t>20822,5 м</w:t>
        </w:r>
        <w:r w:rsidRPr="00631335">
          <w:rPr>
            <w:sz w:val="28"/>
            <w:szCs w:val="27"/>
            <w:vertAlign w:val="superscript"/>
          </w:rPr>
          <w:t>2</w:t>
        </w:r>
      </w:smartTag>
      <w:r w:rsidRPr="00631335">
        <w:rPr>
          <w:sz w:val="28"/>
          <w:szCs w:val="27"/>
        </w:rPr>
        <w:t xml:space="preserve">, в том числе 3 земельных участка площадью </w:t>
      </w:r>
      <w:smartTag w:uri="urn:schemas-microsoft-com:office:smarttags" w:element="metricconverter">
        <w:smartTagPr>
          <w:attr w:name="ProductID" w:val="20487 м2"/>
        </w:smartTagPr>
        <w:r w:rsidRPr="00631335">
          <w:rPr>
            <w:sz w:val="28"/>
            <w:szCs w:val="27"/>
          </w:rPr>
          <w:t>20487 м</w:t>
        </w:r>
        <w:r w:rsidRPr="00631335">
          <w:rPr>
            <w:sz w:val="28"/>
            <w:szCs w:val="27"/>
            <w:vertAlign w:val="superscript"/>
          </w:rPr>
          <w:t>2</w:t>
        </w:r>
      </w:smartTag>
      <w:r w:rsidRPr="00631335">
        <w:rPr>
          <w:sz w:val="28"/>
          <w:szCs w:val="27"/>
        </w:rPr>
        <w:t>);</w:t>
      </w:r>
    </w:p>
    <w:p w:rsidR="00D6313F" w:rsidRPr="00631335" w:rsidRDefault="00D6313F" w:rsidP="0097538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предоставления в аренду объектов муниципального имущества СМСП (в аренду предоставлено 56 объектов);</w:t>
      </w:r>
    </w:p>
    <w:p w:rsidR="00D6313F" w:rsidRPr="00631335" w:rsidRDefault="00D6313F" w:rsidP="0097538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отчуждения объектов муниципального имущества (по преимущественному праву заключено 5 договоров купли-продажи с рассрочкой платежей на 5 лет).</w:t>
      </w:r>
    </w:p>
    <w:p w:rsidR="00D6313F" w:rsidRPr="00631335" w:rsidRDefault="00D6313F" w:rsidP="009753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1134"/>
        </w:tabs>
        <w:ind w:left="0" w:firstLine="709"/>
        <w:jc w:val="both"/>
        <w:rPr>
          <w:b/>
          <w:sz w:val="28"/>
          <w:szCs w:val="27"/>
        </w:rPr>
      </w:pPr>
      <w:r w:rsidRPr="00631335">
        <w:rPr>
          <w:b/>
          <w:sz w:val="28"/>
          <w:szCs w:val="27"/>
        </w:rPr>
        <w:t xml:space="preserve">Информационная-консультационная поддержка.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По состоянию на 31.12.2024</w:t>
      </w:r>
      <w:r>
        <w:rPr>
          <w:sz w:val="28"/>
          <w:szCs w:val="27"/>
        </w:rPr>
        <w:t xml:space="preserve"> </w:t>
      </w:r>
      <w:r w:rsidRPr="00631335">
        <w:rPr>
          <w:sz w:val="28"/>
          <w:szCs w:val="27"/>
        </w:rPr>
        <w:t>оказано</w:t>
      </w:r>
      <w:r>
        <w:rPr>
          <w:sz w:val="28"/>
          <w:szCs w:val="27"/>
        </w:rPr>
        <w:t xml:space="preserve"> </w:t>
      </w:r>
      <w:r w:rsidRPr="00631335">
        <w:rPr>
          <w:sz w:val="28"/>
          <w:szCs w:val="27"/>
        </w:rPr>
        <w:t>43 консультаций СМСП и самозанятым (ведется электронный реестр консультаций). Количество сообщений, новостей, размещенных на официальном сайте администрации городского округа, составило 115 публикаций.</w:t>
      </w:r>
    </w:p>
    <w:p w:rsidR="00D6313F" w:rsidRPr="00631335" w:rsidRDefault="00D6313F" w:rsidP="009753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7"/>
        </w:rPr>
      </w:pPr>
      <w:r w:rsidRPr="00631335">
        <w:rPr>
          <w:b/>
          <w:sz w:val="28"/>
          <w:szCs w:val="27"/>
        </w:rPr>
        <w:t xml:space="preserve">Система пропаганды и популяризации предпринимательской деятельности.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ab/>
        <w:t>Развитие предпринимательской инициативы, пропаганда предпринимательства, являясь одной из составляющих создания положительного имиджа предпринимательства, осуществляются в рамках реализации программы путем проведения следующих мероприятий: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1) размещение информации на официальном сайте администрации городского округа в разделе «Предпринимательство» на главной странице сайта для более быстрого поиска информации и социальных сетях;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2) консультирование СМСП в вопросах ведения деятельности;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3) организация и проведение бесплатных мероприятий для малого и среднего предпринимательства – семинары, круглые столы, конференции. В течение 2024 года проведено 5 мероприятий.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/>
          <w:sz w:val="28"/>
          <w:szCs w:val="27"/>
        </w:rPr>
      </w:pPr>
      <w:r w:rsidRPr="00631335">
        <w:rPr>
          <w:b/>
          <w:sz w:val="28"/>
          <w:szCs w:val="27"/>
        </w:rPr>
        <w:t>6. Улучшение инвестиционного климата в городском округе.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В целях развития инвестиционной деятельности проведены следующие мероприятия:</w:t>
      </w:r>
    </w:p>
    <w:p w:rsidR="00D6313F" w:rsidRPr="00631335" w:rsidRDefault="00D6313F" w:rsidP="009753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разработана и утверждена «дорожная карта» по содействию развития конкуренции в городском округе;</w:t>
      </w:r>
    </w:p>
    <w:p w:rsidR="00D6313F" w:rsidRPr="00631335" w:rsidRDefault="00D6313F" w:rsidP="009753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актуализирован инвестиционный паспорт городского округа и размещен на официальном сайте администрации городского округа;</w:t>
      </w:r>
    </w:p>
    <w:p w:rsidR="00D6313F" w:rsidRPr="00631335" w:rsidRDefault="00D6313F" w:rsidP="009753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на сайте администрации городского округа в разделе «Инвесторам» размещен перечень инвестиционных площадок, земельных участков:</w:t>
      </w:r>
    </w:p>
    <w:p w:rsidR="00D6313F" w:rsidRPr="00631335" w:rsidRDefault="00D6313F" w:rsidP="00975382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площадки для размещения новых производств (гринфилд):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  <w:tab w:val="left" w:pos="3368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- ул. Ермака, 84;</w:t>
      </w:r>
      <w:r w:rsidRPr="00631335">
        <w:rPr>
          <w:sz w:val="28"/>
          <w:szCs w:val="27"/>
        </w:rPr>
        <w:tab/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3368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-западнее земельного участка с кадастровым номером 74:30:0000000:16228;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2) площадки, созданные на основе ранее существующих предприятий, обеспеченных инженерной и транспортной инфраструктурой (браунфилд):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- промплощадка бывшей шахты «Капитальная»;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- промплощадка бывшей шахты «Центральная»;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- промплощадка бывшей шахты «Комсомольская»;</w:t>
      </w:r>
    </w:p>
    <w:p w:rsidR="00D6313F" w:rsidRPr="00631335" w:rsidRDefault="00D6313F" w:rsidP="009753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ежеквартально актуализировался перечень инвестиционных площадок, земельных участков;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Конечные результаты муниципальной программы: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предоставление субсидий не менее 3 субъектам малого и среднего предпринимательства на возмещение затрат по реализации предпринимательских проектов и не менее 9 самозанятым;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 xml:space="preserve">- создание субъектами малого и среднего предпринимательства – получателями поддержки новых рабочих мест; 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93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увеличение количества субъектов малого и среднего предпринимательства в расчете на 10 тыс. человек населения до 300,05 единиц;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увеличение доли среднесписочной численности (без учета внешних совместителей) малых и средних предприятий в среднесписочной численности (без учета внешних совместителей) всех предприятий до 15,32%;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количество консультаций, предоставленных субъектам малого и среднего предпринимательства, – 43 единицы;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количество сообщений, новостей для предпринимателей, размещенных на официальном сайте администрации округа – 115;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количество объектов муниципального имущества, предоставленных в аренду субъектам малого и среднего предпринимательства – 56;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количество объектов муниципального имущества, отчужденных субъектам малого и среднего предпринимательства – 5;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>- количество семинаров, круглых столов, конференций и других мероприятий для предпринимателей – 5;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31335">
        <w:rPr>
          <w:sz w:val="28"/>
          <w:szCs w:val="28"/>
        </w:rPr>
        <w:t xml:space="preserve">- количество потенциальных инвесторов, обратившихся в администрацию городского округа по вопросам реализации инвестиционных проектов – 2 (ООО «ПФО Девелопмент» - </w:t>
      </w:r>
      <w:r w:rsidRPr="00631335">
        <w:rPr>
          <w:sz w:val="28"/>
          <w:szCs w:val="28"/>
          <w:shd w:val="clear" w:color="auto" w:fill="FFFFFF"/>
        </w:rPr>
        <w:t>Строительство Универсальных складов класса «А» продовольственных и непродовольственных товаров</w:t>
      </w:r>
      <w:r w:rsidRPr="00631335">
        <w:rPr>
          <w:sz w:val="28"/>
          <w:szCs w:val="28"/>
        </w:rPr>
        <w:t>, ООО «ЮТК» - индустриальный парк «КРМЗ»).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Анализ реализации муниципальной программы за 2024 год показал, что программные цели и ожидаемые результаты на данном этапе достигнуты.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7"/>
        </w:rPr>
      </w:pPr>
      <w:r w:rsidRPr="00631335">
        <w:rPr>
          <w:sz w:val="28"/>
          <w:szCs w:val="27"/>
        </w:rPr>
        <w:t>Фактически в отчетном периоде все запланированные к реализации мероприятия выполнены в полном объеме.</w:t>
      </w:r>
    </w:p>
    <w:p w:rsidR="00D6313F" w:rsidRPr="00631335" w:rsidRDefault="00D6313F" w:rsidP="009753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7"/>
          <w:highlight w:val="yellow"/>
        </w:rPr>
      </w:pPr>
      <w:r w:rsidRPr="00631335">
        <w:rPr>
          <w:sz w:val="28"/>
          <w:szCs w:val="27"/>
        </w:rPr>
        <w:t>Для решения поставленных задач муниципальной программы на 2025-2027 годы, которая является логическим продолжением ранее действующих муниципальных программ развития малого и среднего предпринимательства, необходимо уделить особое внимание на реализацию таких мероприятий, как имущественная поддержка СМСП и повышение инвестиционной привлекательности городского округа. Системная реализация всех мероприятий муниципальной программы способствует достижению основной цели – созданию благоприятного предпринимательского климата, развитию предпринимательской активности.</w:t>
      </w:r>
    </w:p>
    <w:p w:rsidR="00D6313F" w:rsidRPr="00631335" w:rsidRDefault="00D6313F" w:rsidP="00631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7"/>
          <w:highlight w:val="yellow"/>
        </w:rPr>
      </w:pPr>
    </w:p>
    <w:p w:rsidR="00D6313F" w:rsidRPr="00631335" w:rsidRDefault="00D6313F" w:rsidP="00631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sz w:val="28"/>
          <w:szCs w:val="27"/>
          <w:highlight w:val="yellow"/>
        </w:rPr>
      </w:pPr>
    </w:p>
    <w:p w:rsidR="00D6313F" w:rsidRPr="00631335" w:rsidRDefault="00D6313F" w:rsidP="00631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Начальник управления </w:t>
      </w:r>
    </w:p>
    <w:p w:rsidR="00D6313F" w:rsidRPr="00631335" w:rsidRDefault="00D6313F" w:rsidP="00631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7"/>
        </w:rPr>
      </w:pPr>
      <w:r w:rsidRPr="00631335">
        <w:rPr>
          <w:sz w:val="28"/>
          <w:szCs w:val="27"/>
        </w:rPr>
        <w:t xml:space="preserve">экономического развития                                                                    </w:t>
      </w:r>
      <w:r>
        <w:rPr>
          <w:sz w:val="28"/>
          <w:szCs w:val="27"/>
        </w:rPr>
        <w:t xml:space="preserve">    </w:t>
      </w:r>
      <w:r w:rsidRPr="00631335">
        <w:rPr>
          <w:sz w:val="28"/>
          <w:szCs w:val="27"/>
        </w:rPr>
        <w:t>О.Н. Ланге</w:t>
      </w:r>
    </w:p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5"/>
        <w:jc w:val="both"/>
        <w:rPr>
          <w:sz w:val="28"/>
          <w:szCs w:val="28"/>
        </w:rPr>
      </w:pPr>
    </w:p>
    <w:sectPr w:rsidR="00D6313F" w:rsidSect="00FA4D55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D6313F" w:rsidRDefault="00D631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  <w:footnote w:id="1">
    <w:p w:rsidR="00D6313F" w:rsidRDefault="00D6313F" w:rsidP="00631335">
      <w:pPr>
        <w:pStyle w:val="Footnote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rPr>
          <w:rStyle w:val="FootnoteReference"/>
        </w:rPr>
        <w:footnoteRef/>
      </w:r>
      <w:r>
        <w:t xml:space="preserve"> утвержден постановлением администрации городского округа от 03.05.2024 № 1171-п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A9E"/>
    <w:multiLevelType w:val="hybridMultilevel"/>
    <w:tmpl w:val="B0C4C502"/>
    <w:lvl w:ilvl="0" w:tplc="871A738E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A05432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D28F82C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CA820A6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1102AA6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6C2EA220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560A335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9C89372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EA0EA5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F551773"/>
    <w:multiLevelType w:val="hybridMultilevel"/>
    <w:tmpl w:val="7A58EC86"/>
    <w:lvl w:ilvl="0" w:tplc="7B306F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5084F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7C6F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52F6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B493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DC3C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8EF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6099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320D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321B25"/>
    <w:multiLevelType w:val="hybridMultilevel"/>
    <w:tmpl w:val="317844F2"/>
    <w:lvl w:ilvl="0" w:tplc="4914F24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F74E005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28B35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FFA919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58E081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F0A611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4C88B2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E5207C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23E015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3F725E"/>
    <w:multiLevelType w:val="hybridMultilevel"/>
    <w:tmpl w:val="87D21CAA"/>
    <w:lvl w:ilvl="0" w:tplc="1022687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BA0E55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BB0DAE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C322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992066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AB6D04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8B867B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7666A5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794D20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275B2E"/>
    <w:multiLevelType w:val="hybridMultilevel"/>
    <w:tmpl w:val="9E20DDB0"/>
    <w:lvl w:ilvl="0" w:tplc="63648FA0">
      <w:start w:val="3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8AF671A6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8C5E6E0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25EA61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CCA0E6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DE2E45F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A02B1F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4C0A214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F2E2F9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0AF4A10"/>
    <w:multiLevelType w:val="hybridMultilevel"/>
    <w:tmpl w:val="32E84DE0"/>
    <w:lvl w:ilvl="0" w:tplc="E85A7D92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AB8ED274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2963156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B7C832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72AE472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7FFE943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5E240E1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DACC04E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4228694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DA56EAD"/>
    <w:multiLevelType w:val="hybridMultilevel"/>
    <w:tmpl w:val="4704B28A"/>
    <w:lvl w:ilvl="0" w:tplc="FCC0DA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5E5C5D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3E98DB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298C5F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144AB2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BF546A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9796DD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E004A29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72C68C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>
    <w:nsid w:val="63306ABD"/>
    <w:multiLevelType w:val="hybridMultilevel"/>
    <w:tmpl w:val="213AFD9A"/>
    <w:lvl w:ilvl="0" w:tplc="AE56C076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18E457C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408A846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5BAE8D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F42321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48E6F7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BFE26F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80AFE8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968D07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4BE64D1"/>
    <w:multiLevelType w:val="hybridMultilevel"/>
    <w:tmpl w:val="FFDE7284"/>
    <w:lvl w:ilvl="0" w:tplc="A874D90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4720F4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F190DA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B8B467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376812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DACA2B6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54026A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9E3040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C22820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7B6D4E67"/>
    <w:multiLevelType w:val="hybridMultilevel"/>
    <w:tmpl w:val="2BD4DECC"/>
    <w:lvl w:ilvl="0" w:tplc="CE18F9AA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9CD64898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CA6D0B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3D096B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57E611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E05E1BB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B21ECA3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B860D82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7A7ECD2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20B"/>
    <w:rsid w:val="00070D67"/>
    <w:rsid w:val="000F00DE"/>
    <w:rsid w:val="0017680E"/>
    <w:rsid w:val="001D2335"/>
    <w:rsid w:val="00230136"/>
    <w:rsid w:val="00351A73"/>
    <w:rsid w:val="00553DE7"/>
    <w:rsid w:val="005D3D33"/>
    <w:rsid w:val="00631335"/>
    <w:rsid w:val="006A7311"/>
    <w:rsid w:val="007D3E0F"/>
    <w:rsid w:val="0083753C"/>
    <w:rsid w:val="00892F77"/>
    <w:rsid w:val="00975382"/>
    <w:rsid w:val="00A37A31"/>
    <w:rsid w:val="00A67408"/>
    <w:rsid w:val="00B169B0"/>
    <w:rsid w:val="00B2292A"/>
    <w:rsid w:val="00B44E8D"/>
    <w:rsid w:val="00B73775"/>
    <w:rsid w:val="00D27A38"/>
    <w:rsid w:val="00D5620B"/>
    <w:rsid w:val="00D6313F"/>
    <w:rsid w:val="00FA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D55"/>
    <w:pPr>
      <w:keepNext/>
      <w:outlineLvl w:val="0"/>
    </w:pPr>
    <w:rPr>
      <w:rFonts w:ascii="Arial" w:hAnsi="Arial"/>
      <w:sz w:val="40"/>
      <w:szCs w:val="4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A4D55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A4D55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A4D55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A4D55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A4D55"/>
    <w:pPr>
      <w:keepNext/>
      <w:keepLines/>
      <w:spacing w:before="320" w:after="200"/>
      <w:outlineLvl w:val="5"/>
    </w:pPr>
    <w:rPr>
      <w:rFonts w:ascii="Arial" w:hAnsi="Arial"/>
      <w:b/>
      <w:bCs/>
      <w:sz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A4D55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A4D55"/>
    <w:pPr>
      <w:keepNext/>
      <w:keepLines/>
      <w:spacing w:before="320" w:after="200"/>
      <w:outlineLvl w:val="7"/>
    </w:pPr>
    <w:rPr>
      <w:rFonts w:ascii="Arial" w:hAnsi="Arial"/>
      <w:i/>
      <w:iCs/>
      <w:sz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A4D55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D55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4D55"/>
    <w:rPr>
      <w:rFonts w:ascii="Arial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4D55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4D55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4D55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A4D55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A4D55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A4D55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A4D55"/>
    <w:rPr>
      <w:rFonts w:ascii="Arial" w:hAnsi="Arial" w:cs="Times New Roman"/>
      <w:i/>
      <w:sz w:val="21"/>
    </w:rPr>
  </w:style>
  <w:style w:type="paragraph" w:styleId="ListParagraph">
    <w:name w:val="List Paragraph"/>
    <w:basedOn w:val="Normal"/>
    <w:uiPriority w:val="99"/>
    <w:qFormat/>
    <w:rsid w:val="00FA4D55"/>
    <w:pPr>
      <w:ind w:left="720"/>
      <w:contextualSpacing/>
    </w:pPr>
  </w:style>
  <w:style w:type="paragraph" w:styleId="NoSpacing">
    <w:name w:val="No Spacing"/>
    <w:uiPriority w:val="99"/>
    <w:qFormat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FA4D55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A4D55"/>
    <w:rPr>
      <w:rFonts w:cs="Times New Roman"/>
      <w:sz w:val="48"/>
    </w:rPr>
  </w:style>
  <w:style w:type="paragraph" w:styleId="Subtitle">
    <w:name w:val="Subtitle"/>
    <w:basedOn w:val="Normal"/>
    <w:link w:val="SubtitleChar"/>
    <w:uiPriority w:val="99"/>
    <w:qFormat/>
    <w:rsid w:val="00FA4D55"/>
    <w:pPr>
      <w:spacing w:before="200" w:after="200"/>
    </w:pPr>
    <w:rPr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4D55"/>
    <w:rPr>
      <w:rFonts w:cs="Times New Roman"/>
      <w:sz w:val="24"/>
    </w:rPr>
  </w:style>
  <w:style w:type="paragraph" w:styleId="Quote">
    <w:name w:val="Quote"/>
    <w:basedOn w:val="Normal"/>
    <w:link w:val="QuoteChar"/>
    <w:uiPriority w:val="99"/>
    <w:qFormat/>
    <w:rsid w:val="00FA4D55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A4D55"/>
    <w:rPr>
      <w:rFonts w:cs="Times New Roman"/>
      <w:i/>
      <w:sz w:val="22"/>
      <w:lang w:val="ru-RU" w:eastAsia="en-US"/>
    </w:rPr>
  </w:style>
  <w:style w:type="paragraph" w:styleId="IntenseQuote">
    <w:name w:val="Intense Quote"/>
    <w:basedOn w:val="Normal"/>
    <w:link w:val="IntenseQuoteChar"/>
    <w:uiPriority w:val="99"/>
    <w:qFormat/>
    <w:rsid w:val="00FA4D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A4D55"/>
    <w:rPr>
      <w:rFonts w:cs="Times New Roman"/>
      <w:i/>
      <w:sz w:val="22"/>
      <w:shd w:val="clear" w:color="auto" w:fill="F2F2F2"/>
      <w:lang w:val="ru-RU" w:eastAsia="en-US"/>
    </w:rPr>
  </w:style>
  <w:style w:type="paragraph" w:styleId="Header">
    <w:name w:val="header"/>
    <w:basedOn w:val="Normal"/>
    <w:link w:val="HeaderChar"/>
    <w:uiPriority w:val="99"/>
    <w:rsid w:val="00FA4D5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4D55"/>
    <w:rPr>
      <w:rFonts w:cs="Times New Roman"/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FA4D5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D55"/>
    <w:rPr>
      <w:rFonts w:cs="Times New Roman"/>
      <w:sz w:val="22"/>
      <w:lang w:val="ru-RU" w:eastAsia="en-US"/>
    </w:rPr>
  </w:style>
  <w:style w:type="table" w:styleId="TableGrid">
    <w:name w:val="Table Grid"/>
    <w:basedOn w:val="TableNormal"/>
    <w:uiPriority w:val="99"/>
    <w:rsid w:val="00FA4D55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FA4D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Hyperlink">
    <w:name w:val="Hyperlink"/>
    <w:basedOn w:val="DefaultParagraphFont"/>
    <w:uiPriority w:val="99"/>
    <w:rsid w:val="00FA4D5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A4D55"/>
    <w:pPr>
      <w:spacing w:after="40"/>
    </w:pPr>
    <w:rPr>
      <w:sz w:val="18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4D55"/>
    <w:rPr>
      <w:rFonts w:cs="Times New Roman"/>
      <w:sz w:val="22"/>
    </w:rPr>
  </w:style>
  <w:style w:type="character" w:styleId="FootnoteReference">
    <w:name w:val="footnote reference"/>
    <w:basedOn w:val="DefaultParagraphFont"/>
    <w:uiPriority w:val="99"/>
    <w:rsid w:val="00FA4D55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FA4D55"/>
    <w:pPr>
      <w:spacing w:after="57"/>
    </w:pPr>
  </w:style>
  <w:style w:type="paragraph" w:styleId="TOC2">
    <w:name w:val="toc 2"/>
    <w:basedOn w:val="Normal"/>
    <w:uiPriority w:val="99"/>
    <w:rsid w:val="00FA4D55"/>
    <w:pPr>
      <w:spacing w:after="57"/>
      <w:ind w:left="283"/>
    </w:pPr>
  </w:style>
  <w:style w:type="paragraph" w:styleId="TOC3">
    <w:name w:val="toc 3"/>
    <w:basedOn w:val="Normal"/>
    <w:uiPriority w:val="99"/>
    <w:rsid w:val="00FA4D55"/>
    <w:pPr>
      <w:spacing w:after="57"/>
      <w:ind w:left="567"/>
    </w:pPr>
  </w:style>
  <w:style w:type="paragraph" w:styleId="TOC4">
    <w:name w:val="toc 4"/>
    <w:basedOn w:val="Normal"/>
    <w:uiPriority w:val="99"/>
    <w:rsid w:val="00FA4D55"/>
    <w:pPr>
      <w:spacing w:after="57"/>
      <w:ind w:left="850"/>
    </w:pPr>
  </w:style>
  <w:style w:type="paragraph" w:styleId="TOC5">
    <w:name w:val="toc 5"/>
    <w:basedOn w:val="Normal"/>
    <w:uiPriority w:val="99"/>
    <w:rsid w:val="00FA4D55"/>
    <w:pPr>
      <w:spacing w:after="57"/>
      <w:ind w:left="1134"/>
    </w:pPr>
  </w:style>
  <w:style w:type="paragraph" w:styleId="TOC6">
    <w:name w:val="toc 6"/>
    <w:basedOn w:val="Normal"/>
    <w:uiPriority w:val="99"/>
    <w:rsid w:val="00FA4D55"/>
    <w:pPr>
      <w:spacing w:after="57"/>
      <w:ind w:left="1417"/>
    </w:pPr>
  </w:style>
  <w:style w:type="paragraph" w:styleId="TOC7">
    <w:name w:val="toc 7"/>
    <w:basedOn w:val="Normal"/>
    <w:uiPriority w:val="99"/>
    <w:rsid w:val="00FA4D55"/>
    <w:pPr>
      <w:spacing w:after="57"/>
      <w:ind w:left="1701"/>
    </w:pPr>
  </w:style>
  <w:style w:type="paragraph" w:styleId="TOC8">
    <w:name w:val="toc 8"/>
    <w:basedOn w:val="Normal"/>
    <w:uiPriority w:val="99"/>
    <w:rsid w:val="00FA4D55"/>
    <w:pPr>
      <w:spacing w:after="57"/>
      <w:ind w:left="1984"/>
    </w:pPr>
  </w:style>
  <w:style w:type="paragraph" w:styleId="TOC9">
    <w:name w:val="toc 9"/>
    <w:basedOn w:val="Normal"/>
    <w:uiPriority w:val="99"/>
    <w:rsid w:val="00FA4D55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A4D55"/>
    <w:pPr>
      <w:keepNext w:val="0"/>
      <w:outlineLvl w:val="9"/>
    </w:pPr>
    <w:rPr>
      <w:rFonts w:ascii="Times New Roman" w:hAnsi="Times New Roman"/>
      <w:sz w:val="2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FA4D55"/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4D55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1703</Words>
  <Characters>9708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4</cp:revision>
  <cp:lastPrinted>2025-03-21T09:51:00Z</cp:lastPrinted>
  <dcterms:created xsi:type="dcterms:W3CDTF">2025-04-30T06:40:00Z</dcterms:created>
  <dcterms:modified xsi:type="dcterms:W3CDTF">2025-04-30T10:33:00Z</dcterms:modified>
</cp:coreProperties>
</file>