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C8" w:rsidRDefault="009758C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 w:val="0"/>
          <w:sz w:val="28"/>
          <w:szCs w:val="27"/>
        </w:rPr>
      </w:pPr>
      <w:r>
        <w:rPr>
          <w:rFonts w:ascii="Times New Roman" w:hAnsi="Times New Roman"/>
          <w:b w:val="0"/>
          <w:sz w:val="28"/>
          <w:szCs w:val="27"/>
        </w:rPr>
        <w:t>ИНФОРМАЦИЯ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7"/>
        </w:rPr>
      </w:pPr>
      <w:r>
        <w:rPr>
          <w:sz w:val="28"/>
          <w:szCs w:val="27"/>
        </w:rPr>
        <w:t>о ходе выполнения муниципальной Программы развития субъектов малого и среднего предпринимательства в Копейском городском округе Челябинской области в 2022 году (далее – СМСП, городской округ)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7"/>
        </w:rPr>
      </w:pP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 xml:space="preserve">Малый бизнес – один из важнейших факторов экономического роста. Сегодня он решает многие социальные проблемы развития общества, создает новые рабочие места, расширяет круг предоставляемых товаров и услуг. На сегодняшний день малый бизнес является сдерживающим фактором роста безработицы.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sz w:val="28"/>
          <w:szCs w:val="26"/>
        </w:rPr>
      </w:pPr>
      <w:r>
        <w:rPr>
          <w:i/>
          <w:sz w:val="28"/>
          <w:szCs w:val="26"/>
        </w:rPr>
        <w:tab/>
      </w:r>
      <w:r>
        <w:rPr>
          <w:sz w:val="28"/>
          <w:szCs w:val="26"/>
        </w:rPr>
        <w:t xml:space="preserve">На 31.12.2022 количество СМСП составило 4058, в том числе малые предприятия – 73, средние предприятия – 7, микро предприятия – 985, индивидуальных предпринимателей – 2993. В 2022 году количество плательщиков налога на профессиональный доход составило – 5088.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sz w:val="28"/>
        </w:rPr>
      </w:pPr>
      <w:r>
        <w:rPr>
          <w:sz w:val="28"/>
          <w:szCs w:val="26"/>
        </w:rPr>
        <w:tab/>
        <w:t>В сравнении с 2021 годом наблюдается рост числа зарегистрированных СМСП с 3</w:t>
      </w:r>
      <w:r w:rsidRPr="004C665D">
        <w:rPr>
          <w:sz w:val="28"/>
          <w:szCs w:val="26"/>
        </w:rPr>
        <w:t>956</w:t>
      </w:r>
      <w:r>
        <w:rPr>
          <w:sz w:val="28"/>
          <w:szCs w:val="26"/>
        </w:rPr>
        <w:t xml:space="preserve"> до </w:t>
      </w:r>
      <w:r w:rsidRPr="004C665D">
        <w:rPr>
          <w:sz w:val="28"/>
          <w:szCs w:val="26"/>
        </w:rPr>
        <w:t>4058</w:t>
      </w:r>
      <w:r>
        <w:rPr>
          <w:sz w:val="28"/>
          <w:szCs w:val="26"/>
        </w:rPr>
        <w:t xml:space="preserve"> (рост составил </w:t>
      </w:r>
      <w:r w:rsidRPr="004C665D">
        <w:rPr>
          <w:sz w:val="28"/>
          <w:szCs w:val="26"/>
        </w:rPr>
        <w:t xml:space="preserve"> 102</w:t>
      </w:r>
      <w:r>
        <w:rPr>
          <w:sz w:val="28"/>
          <w:szCs w:val="26"/>
        </w:rPr>
        <w:t xml:space="preserve"> субъекта), самозанятых с </w:t>
      </w:r>
      <w:r w:rsidRPr="004C665D">
        <w:rPr>
          <w:sz w:val="28"/>
          <w:szCs w:val="26"/>
        </w:rPr>
        <w:t>3432</w:t>
      </w:r>
      <w:r>
        <w:rPr>
          <w:sz w:val="28"/>
          <w:szCs w:val="26"/>
        </w:rPr>
        <w:t xml:space="preserve"> до </w:t>
      </w:r>
      <w:r w:rsidRPr="004C665D">
        <w:rPr>
          <w:sz w:val="28"/>
          <w:szCs w:val="26"/>
        </w:rPr>
        <w:t>5088</w:t>
      </w:r>
      <w:r>
        <w:rPr>
          <w:sz w:val="28"/>
          <w:szCs w:val="26"/>
        </w:rPr>
        <w:t xml:space="preserve"> (рост составил </w:t>
      </w:r>
      <w:r w:rsidRPr="004C665D">
        <w:rPr>
          <w:sz w:val="28"/>
          <w:szCs w:val="26"/>
        </w:rPr>
        <w:t>1656</w:t>
      </w:r>
      <w:r>
        <w:rPr>
          <w:sz w:val="28"/>
          <w:szCs w:val="26"/>
        </w:rPr>
        <w:t>).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 целью поддержки малого бизнеса в городском округе разработана муниципальная программа «Развитие малого и среднего предпринимательства в Копейском городском округе Челябинской области» (далее – Программа).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Программа предусматривает реализацию мероприятий по следующим направлениям:</w:t>
      </w:r>
    </w:p>
    <w:p w:rsidR="009758C8" w:rsidRDefault="009758C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рамках Программы по этому направлению реализованы следующие мероприятия:</w:t>
      </w:r>
    </w:p>
    <w:p w:rsidR="009758C8" w:rsidRDefault="009758C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jc w:val="both"/>
        <w:rPr>
          <w:sz w:val="28"/>
          <w:szCs w:val="27"/>
        </w:rPr>
      </w:pPr>
      <w:r>
        <w:rPr>
          <w:sz w:val="28"/>
          <w:szCs w:val="27"/>
        </w:rPr>
        <w:t>проведена оценка регулирующего воздействия 8 проектов муниципальных нормативных правовых актов (далее – ОРВ, МНПА), регулирующих вопросы, связанные с осуществлением предпринимательской деятельности.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Основной целью ОРВ проектов МНПА является выявление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бюджета городского округа.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Для проведения ОРВ администрация взаимодействует с:</w:t>
      </w:r>
    </w:p>
    <w:p w:rsidR="009758C8" w:rsidRDefault="009758C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Уполномоченным по защите прав предпринимателей в Челябинской области;</w:t>
      </w:r>
    </w:p>
    <w:p w:rsidR="009758C8" w:rsidRDefault="009758C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Южно-Уральской торгово-промышленной палатой;</w:t>
      </w:r>
    </w:p>
    <w:p w:rsidR="009758C8" w:rsidRDefault="009758C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Копейским местным отделением ООО МиСП «ОПОРА РОССИИ»;</w:t>
      </w:r>
    </w:p>
    <w:p w:rsidR="009758C8" w:rsidRDefault="009758C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индивидуальными предпринимателями.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 целью учета мнения предпринимателей и инвесторов, предоставления им возможности влиять на решения власти на официальном сайте администрации городского округа создан специальный раздел, в котором размещаются проекты МНПА и проводятся публичные консультации.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2) в целях защиты прав и законных интересов СМСП проводятся приемы общественным представителем Уполномоченного по защите прав предпринимателей в Челябинской области в г. Копейске.</w:t>
      </w:r>
    </w:p>
    <w:p w:rsidR="009758C8" w:rsidRDefault="009758C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Финансовая поддержка.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>Финансовая поддержка СМСП предоставляется в виде субсидий на возмещение затрат: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>- по приобретению оборудования для создания и (или) развития, и (или) модернизации производства товаров, (работ, услуг), за исключением оборудования, предназначенного для осуществления оптовой и розничной торговой деятельности;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1134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>- самозанятых по приобретению инструмента, инвентаря, мебели, аренды.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В 2022 году объем финансирования программы составил 997,58 тыс. руб., в том числе:</w:t>
      </w:r>
    </w:p>
    <w:p w:rsidR="009758C8" w:rsidRDefault="009758C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97,58 тыс. руб. приобретение лицензионного программного обеспечения для мониторинга хозяйственной деятельности СМСП;</w:t>
      </w:r>
    </w:p>
    <w:p w:rsidR="009758C8" w:rsidRDefault="009758C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58,06 тыс. руб. самозанятым;</w:t>
      </w:r>
    </w:p>
    <w:p w:rsidR="009758C8" w:rsidRDefault="009758C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841,94 тыс. руб. на возмещение части затрат по приобретению оборудования для создания и (или) развития, и (или) модернизации производства товаров, (работ, услуг), за исключением оборудования, предназначенного для осуществления оптовой и розничной торговой деятельности.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Финансирование мероприятий программы осуществляется только за счет средств местного бюджета.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В соответствии с Положением о предоставления субсидий</w:t>
      </w:r>
      <w:r>
        <w:rPr>
          <w:rStyle w:val="FootnoteReference"/>
          <w:sz w:val="28"/>
          <w:szCs w:val="27"/>
          <w:lang w:eastAsia="en-US"/>
        </w:rPr>
        <w:footnoteReference w:id="1"/>
      </w:r>
      <w:r>
        <w:rPr>
          <w:sz w:val="28"/>
          <w:szCs w:val="27"/>
          <w:lang w:eastAsia="en-US"/>
        </w:rPr>
        <w:t xml:space="preserve">, субсидии СМСП предоставляются на конкурсной основе </w:t>
      </w:r>
      <w:r>
        <w:rPr>
          <w:sz w:val="28"/>
          <w:szCs w:val="27"/>
        </w:rPr>
        <w:t>предоставляются из расчета 50% от суммы затрат и не могут превышать: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>- по приобретению оборудования - 200,0 тыс. руб.;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>- самозанятым - 50,0 тыс. руб.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 xml:space="preserve">В отчетном 2022 году предоставлено субсидий 6 субъектам предпринимательства и 2 самозанятым: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 xml:space="preserve">- </w:t>
      </w:r>
      <w:r>
        <w:rPr>
          <w:sz w:val="28"/>
          <w:szCs w:val="27"/>
        </w:rPr>
        <w:t>ООО Челябинский лифтостроительный завод «ВИТЧЕЛ»</w:t>
      </w:r>
      <w:r>
        <w:rPr>
          <w:sz w:val="28"/>
          <w:szCs w:val="27"/>
          <w:lang w:eastAsia="en-US"/>
        </w:rPr>
        <w:t>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 xml:space="preserve">- </w:t>
      </w:r>
      <w:r>
        <w:rPr>
          <w:sz w:val="28"/>
          <w:szCs w:val="27"/>
        </w:rPr>
        <w:t xml:space="preserve">ООО «Грибник»;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ООО «Копейская швейная фабрика»;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ИП Гинтер Владимир Оттович;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sz w:val="28"/>
          <w:szCs w:val="27"/>
        </w:rPr>
      </w:pPr>
      <w:r>
        <w:rPr>
          <w:sz w:val="28"/>
          <w:szCs w:val="27"/>
        </w:rPr>
        <w:t xml:space="preserve">- ИП Сафонов Василий Александрович;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sz w:val="28"/>
          <w:szCs w:val="27"/>
        </w:rPr>
      </w:pPr>
      <w:r>
        <w:rPr>
          <w:sz w:val="28"/>
          <w:szCs w:val="27"/>
        </w:rPr>
        <w:t>- ИП Гончаров Владимир Владимирович.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 xml:space="preserve">Все заявители получили субсидии и </w:t>
      </w:r>
      <w:r>
        <w:rPr>
          <w:sz w:val="28"/>
          <w:szCs w:val="27"/>
        </w:rPr>
        <w:t>представили в установленный срок отчет о фактически достигнутых показателях финансово-хозяйственной деятельности в 2022 году. В результате мониторинга отчетов прослеживается положительная динамика развития СМСП. Это сохранение 243 рабочих места, создание 6 новых рабочих мест, увеличение налоговых поступлений в бюджеты всех уровней (в сравнении с 2022 годом больше на 859,3 тыс. руб.).</w:t>
      </w:r>
    </w:p>
    <w:p w:rsidR="009758C8" w:rsidRDefault="009758C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 w:firstLine="0"/>
        <w:jc w:val="both"/>
        <w:rPr>
          <w:b/>
          <w:sz w:val="28"/>
          <w:szCs w:val="27"/>
        </w:rPr>
      </w:pPr>
      <w:r>
        <w:rPr>
          <w:b/>
          <w:sz w:val="28"/>
          <w:szCs w:val="27"/>
          <w:lang w:eastAsia="en-US"/>
        </w:rPr>
        <w:t>Имущественная поддержка.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Имущественная поддержка для СМСП реализуется в виде:</w:t>
      </w:r>
    </w:p>
    <w:p w:rsidR="009758C8" w:rsidRDefault="009758C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формирования и ведения перечня муниципального имущества, предназначенного для передачи во владение и (или) пользование СМСП (в указанный перечень включены 10 объектов муниципального имущества</w:t>
      </w:r>
      <w:r>
        <w:rPr>
          <w:sz w:val="28"/>
          <w:szCs w:val="27"/>
        </w:rPr>
        <w:t xml:space="preserve"> общей площадью </w:t>
      </w:r>
      <w:smartTag w:uri="urn:schemas-microsoft-com:office:smarttags" w:element="metricconverter">
        <w:smartTagPr>
          <w:attr w:name="ProductID" w:val="947,3 м2"/>
        </w:smartTagPr>
        <w:r>
          <w:rPr>
            <w:sz w:val="28"/>
            <w:szCs w:val="27"/>
          </w:rPr>
          <w:t>947,3 м</w:t>
        </w:r>
        <w:r>
          <w:rPr>
            <w:sz w:val="28"/>
            <w:szCs w:val="27"/>
            <w:vertAlign w:val="superscript"/>
          </w:rPr>
          <w:t>2</w:t>
        </w:r>
      </w:smartTag>
      <w:r>
        <w:rPr>
          <w:sz w:val="28"/>
          <w:szCs w:val="27"/>
        </w:rPr>
        <w:t xml:space="preserve">, в том числе 1 земельный участок площадью </w:t>
      </w:r>
      <w:smartTag w:uri="urn:schemas-microsoft-com:office:smarttags" w:element="metricconverter">
        <w:smartTagPr>
          <w:attr w:name="ProductID" w:val="560 м2"/>
        </w:smartTagPr>
        <w:r>
          <w:rPr>
            <w:sz w:val="28"/>
            <w:szCs w:val="27"/>
          </w:rPr>
          <w:t>560 м</w:t>
        </w:r>
        <w:r>
          <w:rPr>
            <w:sz w:val="28"/>
            <w:szCs w:val="27"/>
            <w:vertAlign w:val="superscript"/>
          </w:rPr>
          <w:t>2</w:t>
        </w:r>
      </w:smartTag>
      <w:r>
        <w:rPr>
          <w:sz w:val="28"/>
          <w:szCs w:val="27"/>
          <w:lang w:eastAsia="en-US"/>
        </w:rPr>
        <w:t>);</w:t>
      </w:r>
    </w:p>
    <w:p w:rsidR="009758C8" w:rsidRDefault="009758C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предоставления в аренду СМСП объектов муниципального имущества СМСП (в аренду предоставлено 50 объектов);</w:t>
      </w:r>
    </w:p>
    <w:p w:rsidR="009758C8" w:rsidRDefault="009758C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отчуждения СМСП объектов муниципального имущества (</w:t>
      </w:r>
      <w:r>
        <w:rPr>
          <w:sz w:val="28"/>
          <w:szCs w:val="27"/>
        </w:rPr>
        <w:t>по преимущественному праву заключен 1 договор купли-продажи с рассрочкой платежей на 5 лет. Общая сумма договоров составляет 659,0 тыс. руб.</w:t>
      </w:r>
      <w:r>
        <w:rPr>
          <w:sz w:val="28"/>
          <w:szCs w:val="27"/>
          <w:lang w:eastAsia="en-US"/>
        </w:rPr>
        <w:t>).</w:t>
      </w:r>
    </w:p>
    <w:p w:rsidR="009758C8" w:rsidRDefault="009758C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134"/>
        </w:tabs>
        <w:ind w:hanging="720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Информационная-консультационная поддержка СМСП.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 состоянию на 31.12.2022 предоставлено 61 консультация СМСП (ведется электронный реестр консультаций). Количество сообщений, новостей для СМСП, размещенных на официальном сайте администрации городского округа, составило 135 публикаций.</w:t>
      </w:r>
    </w:p>
    <w:p w:rsidR="009758C8" w:rsidRDefault="009758C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Система пропаганды и популяризации предпринимательской деятельности.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>Развитие предпринимательской инициативы, пропаганда предпринимательства, являясь одной из составляющих создания положительного имиджа предпринимательства, осуществляются в рамках реализации программы путем проведения следующих мероприятий: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1) размещение информации для СМСП на официальном сайте администрации городского округа в разделе «Предпринимательство» на главной странице сайта для более быстрого поиска информации и социальный сетях;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2) консультирование СМСП в вопросах ведения деятельности;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3) организация и проведение бесплатных мероприятий для малого и среднего предпринимательства – семинары, круглые столы, конференции. В течение 2022 года проведено 8 мероприятий;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  <w:szCs w:val="27"/>
        </w:rPr>
      </w:pPr>
      <w:r>
        <w:rPr>
          <w:b/>
          <w:sz w:val="28"/>
          <w:szCs w:val="27"/>
          <w:lang w:eastAsia="en-US"/>
        </w:rPr>
        <w:t>6. Улучшение инвестиционного климата в городском округе.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В целях развития инвестиционной деятельности проведены следующие мероприятия:</w:t>
      </w:r>
    </w:p>
    <w:p w:rsidR="009758C8" w:rsidRDefault="009758C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разработана и утверждена «дорожная карта» «Поддержка малого и среднего предпринимательства в Копейском городском округе»;</w:t>
      </w:r>
    </w:p>
    <w:p w:rsidR="009758C8" w:rsidRDefault="009758C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разработана и утверждена «дорожная карта» по содействию развития конкуренции в городском округе;</w:t>
      </w:r>
    </w:p>
    <w:p w:rsidR="009758C8" w:rsidRDefault="009758C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актуализирован инвестиционный паспорт городского округа и размещен на официальном сайте администрации городского округа;</w:t>
      </w:r>
    </w:p>
    <w:p w:rsidR="009758C8" w:rsidRDefault="009758C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на сайте администрации городского округа в разделе «Инвесторам» размещены генеральный план застройки городского округа, правила землепользования и застройки, перечень инвестиционных площадок, земельных участков:</w:t>
      </w:r>
    </w:p>
    <w:p w:rsidR="009758C8" w:rsidRDefault="009758C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jc w:val="both"/>
        <w:rPr>
          <w:sz w:val="28"/>
          <w:szCs w:val="27"/>
        </w:rPr>
      </w:pPr>
      <w:r>
        <w:rPr>
          <w:sz w:val="28"/>
          <w:szCs w:val="27"/>
        </w:rPr>
        <w:t>площадки для размещения новых производств (гринфилд):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3368"/>
        </w:tabs>
        <w:ind w:left="709"/>
        <w:jc w:val="both"/>
        <w:rPr>
          <w:sz w:val="28"/>
          <w:szCs w:val="27"/>
        </w:rPr>
      </w:pPr>
      <w:r>
        <w:rPr>
          <w:sz w:val="28"/>
          <w:szCs w:val="27"/>
        </w:rPr>
        <w:t>- ул. Ермака, 75;</w:t>
      </w:r>
      <w:r>
        <w:rPr>
          <w:sz w:val="28"/>
          <w:szCs w:val="27"/>
        </w:rPr>
        <w:tab/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3368"/>
        </w:tabs>
        <w:ind w:left="709"/>
        <w:jc w:val="both"/>
        <w:rPr>
          <w:sz w:val="28"/>
          <w:szCs w:val="27"/>
        </w:rPr>
      </w:pPr>
      <w:r>
        <w:rPr>
          <w:sz w:val="28"/>
          <w:szCs w:val="27"/>
        </w:rPr>
        <w:t>- ул. Ермака, 77;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ориентировочно в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7"/>
          </w:rPr>
          <w:t>400 м</w:t>
        </w:r>
      </w:smartTag>
      <w:r>
        <w:rPr>
          <w:sz w:val="28"/>
          <w:szCs w:val="27"/>
        </w:rPr>
        <w:t xml:space="preserve"> севернее промплощадки бывшей шахты «Центральная»;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западнее земельного участка с кадастровым номером 74:30:0804003:65;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2) площадки, созданные на основе ранее существующих предприятий, обеспеченных инженерной и транспортной инфраструктурой (браунфилд):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промплощадка бывшей шахты «Капитальная»;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промплощадка бывшей шахты «Центральная»;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промплощадка бывшей шахты «Комсомольская»</w:t>
      </w:r>
      <w:r>
        <w:rPr>
          <w:sz w:val="28"/>
          <w:szCs w:val="27"/>
          <w:lang w:eastAsia="en-US"/>
        </w:rPr>
        <w:t>;</w:t>
      </w:r>
    </w:p>
    <w:p w:rsidR="009758C8" w:rsidRDefault="009758C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ежеквартально актуализировался перечень инвестиционных площадок, земельных участков;</w:t>
      </w:r>
    </w:p>
    <w:p w:rsidR="009758C8" w:rsidRDefault="009758C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решением Собрания депутатов Копейского городского округа утверждено положение об инвестиционной деятельности на территории городского округа;</w:t>
      </w:r>
    </w:p>
    <w:p w:rsidR="009758C8" w:rsidRDefault="009758C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решением Собрания депутатов Копейского городского округа предусмотрено предоставление льготы по земельному налогу инвесторам, инвестиционные проекты которых включены в перечень приоритетных инвестиционных проектов на территории городского округа.</w:t>
      </w:r>
    </w:p>
    <w:p w:rsidR="009758C8" w:rsidRDefault="009758C8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Льгота предоставляется в виде освобождения от уплаты земельного налога в размере 100% исчисленной суммы земельного налога, но не более размера внесенных инвестиций в течение отчетного года, освобождаются организации, индустриальные парки, управляющие компании индустриальных парков реализующие инвестиционные проекты на территории городского округа                        с 1 января 2020 года.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Конечные результаты муниципальной программы: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предоставление субсидий 6 субъектам малого и среднего предпринимательства на возмещение затрат по реализации предпринимательских проектов и  2 самозанятым;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создание субъектами малого и среднего предпринимательства – получателями поддержки, не менее 6 рабочих мест;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увеличение количества субъектов малого и среднего предпринимательства в расчете на 10 тыс. человек населения до 276,11 единиц;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увеличение доли среднесписочной численности (без учета внешних совместителей) малых и средних предприятий в среднесписочной численности (без учета внешних совместителей) всех предприятий до 18,35%;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количество консультаций, предоставленных субъектам малого и среднего предпринимательства – 61 единиц;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количество сообщений, новостей для предпринимателей, размещенных на официальном сайте администрации округа – 135;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количество объектов муниципального имущества, предоставленных в аренду субъектам малого и среднего предпринимательства – 50;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количество объектов муниципального имущества, отчужденных субъектам малого и среднего предпринимательства – 1;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количество семинаров, круглых столов, конференций и других мероприятий для предпринимателей – 8;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количество потенциальных инвесторов, обратившихся в администрацию городского округа по вопросам реализации инвестиционных проектов – 1 (ООО ПСО «КУрС»).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Подводя итоги реализации муниципальной программы нужно отметить, что на ход ее реализации повлияли следующие положительные факторы:</w:t>
      </w:r>
    </w:p>
    <w:p w:rsidR="009758C8" w:rsidRDefault="009758C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активная работа управления экономического развития администрации Копейского городского округа;</w:t>
      </w:r>
    </w:p>
    <w:p w:rsidR="009758C8" w:rsidRDefault="009758C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активное взаимодействие с общественными организациями поддержки и развития СМСП в Копейском городском округе;</w:t>
      </w:r>
    </w:p>
    <w:p w:rsidR="009758C8" w:rsidRDefault="009758C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активное взаимодействие с Фондом развития и поддержки предпринимательства Челябинской области – Центр «Мой бизнес»;</w:t>
      </w:r>
    </w:p>
    <w:p w:rsidR="009758C8" w:rsidRDefault="009758C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работа членов ОКС, рабочей группы ОКС.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Также наблюдались и отрицательные факторы, сдерживающие развитие СМСП:</w:t>
      </w:r>
    </w:p>
    <w:p w:rsidR="009758C8" w:rsidRDefault="009758C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дефицит квалифицированных кадров, недостаточный уровень их профессиональной подготовки;</w:t>
      </w:r>
    </w:p>
    <w:p w:rsidR="009758C8" w:rsidRDefault="009758C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недостаток производственных площадей.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Для решения поставленных задач муниципальной программы на 2023-2025 годы, которая является логическим продолжением ранее действующих муниципальных программ развития малого и среднего предпринимательства, необходимо уделить особое внимание на реализацию таких мероприятий, как имущественная поддержка СМСП и повышение инвестиционной привлекательности городского округа. Системная реализация всех мероприятий муниципальной программы способствует достижению основной цели – созданию благоприятного предпринимательского климата, развитию предпринимательской активности.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7"/>
          <w:highlight w:val="yellow"/>
        </w:rPr>
      </w:pP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7"/>
          <w:highlight w:val="yellow"/>
        </w:rPr>
      </w:pP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7"/>
        </w:rPr>
      </w:pP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 xml:space="preserve">Начальник управления </w:t>
      </w:r>
    </w:p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7"/>
        </w:rPr>
      </w:pPr>
      <w:r>
        <w:rPr>
          <w:sz w:val="28"/>
          <w:szCs w:val="27"/>
          <w:lang w:eastAsia="en-US"/>
        </w:rPr>
        <w:t>экономического развития                                                                           О.Н. Ланге</w:t>
      </w:r>
    </w:p>
    <w:sectPr w:rsidR="009758C8" w:rsidSect="004856D1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C8" w:rsidRDefault="009758C8" w:rsidP="0048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:rsidR="009758C8" w:rsidRDefault="009758C8" w:rsidP="0048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:rsidR="009758C8" w:rsidRDefault="00975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  <w:footnote w:id="1">
    <w:p w:rsidR="009758C8" w:rsidRDefault="009758C8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rStyle w:val="FootnoteReference"/>
        </w:rPr>
        <w:footnoteRef/>
      </w:r>
      <w:r>
        <w:t xml:space="preserve"> утвержден постановлением администрации городского округа от 20.07.2021 №1637-п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EE5"/>
    <w:multiLevelType w:val="hybridMultilevel"/>
    <w:tmpl w:val="FFFFFFFF"/>
    <w:lvl w:ilvl="0" w:tplc="1E8ADB2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</w:rPr>
    </w:lvl>
    <w:lvl w:ilvl="1" w:tplc="958462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E853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6AE1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B6B0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9409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5248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C465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CA5A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E7ED1"/>
    <w:multiLevelType w:val="hybridMultilevel"/>
    <w:tmpl w:val="FFFFFFFF"/>
    <w:lvl w:ilvl="0" w:tplc="EE5CBE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BEBE0A4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58458C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6A6087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A38106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918D3E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C781C6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6426B0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780149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DA4751"/>
    <w:multiLevelType w:val="hybridMultilevel"/>
    <w:tmpl w:val="FFFFFFFF"/>
    <w:lvl w:ilvl="0" w:tplc="473641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BE2A4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ACE8F7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056263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7062CA1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96302C6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EC88ABC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90ABEE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B54E79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60FB9"/>
    <w:multiLevelType w:val="hybridMultilevel"/>
    <w:tmpl w:val="FFFFFFFF"/>
    <w:lvl w:ilvl="0" w:tplc="B1C8E2E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95637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4850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6423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C021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6A13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102C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CEF4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C45B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892600"/>
    <w:multiLevelType w:val="hybridMultilevel"/>
    <w:tmpl w:val="FFFFFFFF"/>
    <w:lvl w:ilvl="0" w:tplc="067AE3C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55CE390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D36C8D8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D010A5C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9CC590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BDCE4B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4C4C54C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4ECA5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580F71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E3F0408"/>
    <w:multiLevelType w:val="hybridMultilevel"/>
    <w:tmpl w:val="FFFFFFFF"/>
    <w:lvl w:ilvl="0" w:tplc="8AB4C67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26B683E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341EC54E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C2769A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79E814C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7CB4A972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5D0523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D3E1B02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9A7C2D4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F16476D"/>
    <w:multiLevelType w:val="hybridMultilevel"/>
    <w:tmpl w:val="FFFFFFFF"/>
    <w:lvl w:ilvl="0" w:tplc="B6927878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1758F0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1E94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8C4A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34FD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2849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C25E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3CE7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7CB4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4771AAF"/>
    <w:multiLevelType w:val="hybridMultilevel"/>
    <w:tmpl w:val="FFFFFFFF"/>
    <w:lvl w:ilvl="0" w:tplc="DAD8291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888E23C8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34A03ACE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66041F12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B3491D2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B5144F66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536E3C8A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CBECC72E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A49448B2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EA3562F"/>
    <w:multiLevelType w:val="hybridMultilevel"/>
    <w:tmpl w:val="FFFFFFFF"/>
    <w:lvl w:ilvl="0" w:tplc="2548847E">
      <w:start w:val="3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3DF67C9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7E6A3FE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07664D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99DAE1D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AD4A983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DF4B3E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DE4503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C663DCA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14D0C39"/>
    <w:multiLevelType w:val="hybridMultilevel"/>
    <w:tmpl w:val="FFFFFFFF"/>
    <w:lvl w:ilvl="0" w:tplc="31DE604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6220C7D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16AD42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CDEA90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72A051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74CCD4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77A31F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B1CA62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CDAF81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935CB6"/>
    <w:multiLevelType w:val="hybridMultilevel"/>
    <w:tmpl w:val="FFFFFFFF"/>
    <w:lvl w:ilvl="0" w:tplc="D9BEF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980C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EEB5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F42C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8E71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4A80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BED3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DCD3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D86A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3947425"/>
    <w:multiLevelType w:val="hybridMultilevel"/>
    <w:tmpl w:val="FFFFFFFF"/>
    <w:lvl w:ilvl="0" w:tplc="01BA9B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A2DE96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9010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2254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1822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2A85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9A7D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70D7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2C77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44F0734"/>
    <w:multiLevelType w:val="hybridMultilevel"/>
    <w:tmpl w:val="FFFFFFFF"/>
    <w:lvl w:ilvl="0" w:tplc="08A02C9A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7B423418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BCC638E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B9FC6E02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A78C44AA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8E7826D4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E75C663A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EE0B94E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6D2EEB92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510FBE"/>
    <w:multiLevelType w:val="hybridMultilevel"/>
    <w:tmpl w:val="FFFFFFFF"/>
    <w:lvl w:ilvl="0" w:tplc="56E2B54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050335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14CC4F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BA4F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BA25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4026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665F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DE57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9E85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EE80BC8"/>
    <w:multiLevelType w:val="hybridMultilevel"/>
    <w:tmpl w:val="FFFFFFFF"/>
    <w:lvl w:ilvl="0" w:tplc="48682B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A3677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FAA2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D05F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5AFA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9047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84BA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F64C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C40D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93D7C62"/>
    <w:multiLevelType w:val="hybridMultilevel"/>
    <w:tmpl w:val="FFFFFFFF"/>
    <w:lvl w:ilvl="0" w:tplc="37D4342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F90DB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868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909E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AAB8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B067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65B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9CA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ECBE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AF5577E"/>
    <w:multiLevelType w:val="hybridMultilevel"/>
    <w:tmpl w:val="FFFFFFFF"/>
    <w:lvl w:ilvl="0" w:tplc="6A6C08CC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E5B4B49C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4DAC355E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BE7AD92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A000C61A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720257C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A71EC122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ADE2525E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2F1A4C80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4CCD1EDD"/>
    <w:multiLevelType w:val="hybridMultilevel"/>
    <w:tmpl w:val="FFFFFFFF"/>
    <w:lvl w:ilvl="0" w:tplc="65E0C69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493616F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6823F0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A059F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888B8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3AA989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BE22C5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9C835D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D16775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2E4F7D"/>
    <w:multiLevelType w:val="hybridMultilevel"/>
    <w:tmpl w:val="FFFFFFFF"/>
    <w:lvl w:ilvl="0" w:tplc="6CCE8A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2872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0EB5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8A4B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9CB9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BA0D2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F2AF1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407F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92A0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A26D2"/>
    <w:multiLevelType w:val="hybridMultilevel"/>
    <w:tmpl w:val="FFFFFFFF"/>
    <w:lvl w:ilvl="0" w:tplc="E1041A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8DBC0E6A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D40FCC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68C0A6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DF4DD4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38E4E30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90C5CE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A05433D2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9AA7C9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3716578"/>
    <w:multiLevelType w:val="hybridMultilevel"/>
    <w:tmpl w:val="FFFFFFFF"/>
    <w:lvl w:ilvl="0" w:tplc="E13093F2">
      <w:start w:val="7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2D903C36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537AD5B4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DCB0FE84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C4FA4E96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68224632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77987C48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63924506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6914C5C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BC1411E"/>
    <w:multiLevelType w:val="hybridMultilevel"/>
    <w:tmpl w:val="FFFFFFFF"/>
    <w:lvl w:ilvl="0" w:tplc="A38CAA0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502646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E40832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67E365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8C06D3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27E76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7E84BA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7B2433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B164F3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FFD2F3E"/>
    <w:multiLevelType w:val="hybridMultilevel"/>
    <w:tmpl w:val="FFFFFFFF"/>
    <w:lvl w:ilvl="0" w:tplc="12D25E7A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D1C637C8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E7AF27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5F8072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E6421DD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52AE3B0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6ED08B9C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4D05B9C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EE62C69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22D1214"/>
    <w:multiLevelType w:val="hybridMultilevel"/>
    <w:tmpl w:val="FFFFFFFF"/>
    <w:lvl w:ilvl="0" w:tplc="8584B0F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8530079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E0E252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5862EB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847049C0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DCA0987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A6C7D3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B405F9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8F4999C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7160D84"/>
    <w:multiLevelType w:val="hybridMultilevel"/>
    <w:tmpl w:val="FFFFFFFF"/>
    <w:lvl w:ilvl="0" w:tplc="5B78869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A476AB1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D846A5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F8EA36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94EC49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624777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C1B0104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6743420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86E2C5C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9BB77BD"/>
    <w:multiLevelType w:val="hybridMultilevel"/>
    <w:tmpl w:val="FFFFFFFF"/>
    <w:lvl w:ilvl="0" w:tplc="C6E27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865E40C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3EE3D8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C0146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456FBC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FB2670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CEA431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A6CE3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5C48C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1E80FC8"/>
    <w:multiLevelType w:val="hybridMultilevel"/>
    <w:tmpl w:val="FFFFFFFF"/>
    <w:lvl w:ilvl="0" w:tplc="31D8A58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CD602B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85C7A6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9B498F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4B655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78C83B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C62799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A3445A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3853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2295DC6"/>
    <w:multiLevelType w:val="hybridMultilevel"/>
    <w:tmpl w:val="FFFFFFFF"/>
    <w:lvl w:ilvl="0" w:tplc="67D84B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24D8D85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92A21D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22EACE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D40F6A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F82080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212835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5469E7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EE5C6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4858A0"/>
    <w:multiLevelType w:val="hybridMultilevel"/>
    <w:tmpl w:val="FFFFFFFF"/>
    <w:lvl w:ilvl="0" w:tplc="7C928B8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A0B2597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DEE788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57C63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A69EB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DC2740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B4252B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E3890C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8AE886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8F527E3"/>
    <w:multiLevelType w:val="hybridMultilevel"/>
    <w:tmpl w:val="FFFFFFFF"/>
    <w:lvl w:ilvl="0" w:tplc="EAC2A32A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/>
      </w:rPr>
    </w:lvl>
    <w:lvl w:ilvl="1" w:tplc="06E001C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/>
      </w:rPr>
    </w:lvl>
    <w:lvl w:ilvl="2" w:tplc="9EA0EB86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/>
      </w:rPr>
    </w:lvl>
    <w:lvl w:ilvl="3" w:tplc="09BCF0D4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/>
      </w:rPr>
    </w:lvl>
    <w:lvl w:ilvl="4" w:tplc="8438D980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/>
      </w:rPr>
    </w:lvl>
    <w:lvl w:ilvl="5" w:tplc="B24ECAC8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/>
      </w:rPr>
    </w:lvl>
    <w:lvl w:ilvl="6" w:tplc="CDFE32A0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/>
      </w:rPr>
    </w:lvl>
    <w:lvl w:ilvl="7" w:tplc="70C6DCA6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/>
      </w:rPr>
    </w:lvl>
    <w:lvl w:ilvl="8" w:tplc="55C62366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/>
      </w:rPr>
    </w:lvl>
  </w:abstractNum>
  <w:abstractNum w:abstractNumId="30">
    <w:nsid w:val="79515C77"/>
    <w:multiLevelType w:val="hybridMultilevel"/>
    <w:tmpl w:val="FFFFFFFF"/>
    <w:lvl w:ilvl="0" w:tplc="33B28E2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E7EE5CC0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96FA79FE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9216D7EE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61F6992C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CB2E5910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27AA0A62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B9127F46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47D8B02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23"/>
  </w:num>
  <w:num w:numId="5">
    <w:abstractNumId w:val="20"/>
  </w:num>
  <w:num w:numId="6">
    <w:abstractNumId w:val="4"/>
  </w:num>
  <w:num w:numId="7">
    <w:abstractNumId w:val="24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2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2"/>
  </w:num>
  <w:num w:numId="21">
    <w:abstractNumId w:val="10"/>
  </w:num>
  <w:num w:numId="22">
    <w:abstractNumId w:val="15"/>
  </w:num>
  <w:num w:numId="23">
    <w:abstractNumId w:val="16"/>
  </w:num>
  <w:num w:numId="24">
    <w:abstractNumId w:val="14"/>
  </w:num>
  <w:num w:numId="25">
    <w:abstractNumId w:val="13"/>
  </w:num>
  <w:num w:numId="26">
    <w:abstractNumId w:val="3"/>
  </w:num>
  <w:num w:numId="27">
    <w:abstractNumId w:val="26"/>
  </w:num>
  <w:num w:numId="28">
    <w:abstractNumId w:val="21"/>
  </w:num>
  <w:num w:numId="29">
    <w:abstractNumId w:val="28"/>
  </w:num>
  <w:num w:numId="30">
    <w:abstractNumId w:val="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6D1"/>
    <w:rsid w:val="000B4FCA"/>
    <w:rsid w:val="004856D1"/>
    <w:rsid w:val="004C665D"/>
    <w:rsid w:val="00814766"/>
    <w:rsid w:val="0097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856D1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4856D1"/>
    <w:pPr>
      <w:keepNext/>
      <w:keepLines/>
      <w:spacing w:before="360" w:after="200"/>
      <w:outlineLvl w:val="1"/>
    </w:pPr>
    <w:rPr>
      <w:rFonts w:ascii="Arial" w:hAnsi="Arial"/>
      <w:sz w:val="34"/>
      <w:szCs w:val="22"/>
    </w:rPr>
  </w:style>
  <w:style w:type="paragraph" w:styleId="Heading3">
    <w:name w:val="heading 3"/>
    <w:basedOn w:val="Normal"/>
    <w:link w:val="Heading3Char"/>
    <w:uiPriority w:val="99"/>
    <w:qFormat/>
    <w:rsid w:val="004856D1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Heading4">
    <w:name w:val="heading 4"/>
    <w:basedOn w:val="Normal"/>
    <w:link w:val="Heading4Char"/>
    <w:uiPriority w:val="99"/>
    <w:qFormat/>
    <w:rsid w:val="004856D1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4856D1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link w:val="Heading6Char"/>
    <w:uiPriority w:val="99"/>
    <w:qFormat/>
    <w:rsid w:val="004856D1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4856D1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link w:val="Heading8Char"/>
    <w:uiPriority w:val="99"/>
    <w:qFormat/>
    <w:rsid w:val="004856D1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Normal"/>
    <w:link w:val="Heading9Char"/>
    <w:uiPriority w:val="99"/>
    <w:qFormat/>
    <w:rsid w:val="004856D1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  <w:rsid w:val="004856D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6D1"/>
    <w:rPr>
      <w:rFonts w:ascii="Arial" w:eastAsia="Times New Roman" w:hAnsi="Arial"/>
      <w:sz w:val="4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56D1"/>
    <w:rPr>
      <w:rFonts w:ascii="Arial" w:eastAsia="Times New Roman" w:hAnsi="Arial"/>
      <w:sz w:val="22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56D1"/>
    <w:rPr>
      <w:rFonts w:ascii="Arial" w:eastAsia="Times New Roman" w:hAnsi="Arial"/>
      <w:sz w:val="3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56D1"/>
    <w:rPr>
      <w:rFonts w:ascii="Arial" w:eastAsia="Times New Roman" w:hAnsi="Arial"/>
      <w:b/>
      <w:sz w:val="26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56D1"/>
    <w:rPr>
      <w:rFonts w:ascii="Arial" w:eastAsia="Times New Roman" w:hAnsi="Arial"/>
      <w:b/>
      <w:sz w:val="24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856D1"/>
    <w:rPr>
      <w:rFonts w:ascii="Arial" w:eastAsia="Times New Roman" w:hAnsi="Arial"/>
      <w:b/>
      <w:sz w:val="22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856D1"/>
    <w:rPr>
      <w:rFonts w:ascii="Arial" w:eastAsia="Times New Roman" w:hAnsi="Arial"/>
      <w:b/>
      <w:i/>
      <w:sz w:val="22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856D1"/>
    <w:rPr>
      <w:rFonts w:ascii="Arial" w:eastAsia="Times New Roman" w:hAnsi="Arial"/>
      <w:i/>
      <w:sz w:val="22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856D1"/>
    <w:rPr>
      <w:rFonts w:ascii="Arial" w:eastAsia="Times New Roman" w:hAnsi="Arial"/>
      <w:i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4856D1"/>
    <w:pPr>
      <w:ind w:left="720"/>
      <w:contextualSpacing/>
    </w:pPr>
    <w:rPr>
      <w:sz w:val="20"/>
      <w:szCs w:val="22"/>
      <w:lang w:eastAsia="en-US"/>
    </w:rPr>
  </w:style>
  <w:style w:type="paragraph" w:styleId="NoSpacing">
    <w:name w:val="No Spacing"/>
    <w:uiPriority w:val="99"/>
    <w:qFormat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4856D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56D1"/>
    <w:rPr>
      <w:sz w:val="48"/>
      <w:shd w:val="clear" w:color="auto" w:fill="auto"/>
    </w:rPr>
  </w:style>
  <w:style w:type="paragraph" w:styleId="Subtitle">
    <w:name w:val="Subtitle"/>
    <w:basedOn w:val="Normal"/>
    <w:link w:val="SubtitleChar"/>
    <w:uiPriority w:val="99"/>
    <w:qFormat/>
    <w:rsid w:val="004856D1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856D1"/>
    <w:rPr>
      <w:sz w:val="24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4856D1"/>
    <w:pPr>
      <w:ind w:left="720" w:right="720"/>
    </w:pPr>
    <w:rPr>
      <w:i/>
      <w:sz w:val="20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856D1"/>
    <w:rPr>
      <w:i/>
      <w:sz w:val="22"/>
      <w:shd w:val="clear" w:color="auto" w:fill="auto"/>
      <w:lang w:val="ru-RU" w:eastAsia="en-US"/>
    </w:rPr>
  </w:style>
  <w:style w:type="paragraph" w:styleId="IntenseQuote">
    <w:name w:val="Intense Quote"/>
    <w:basedOn w:val="Normal"/>
    <w:link w:val="IntenseQuoteChar"/>
    <w:uiPriority w:val="99"/>
    <w:qFormat/>
    <w:rsid w:val="004856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56D1"/>
    <w:rPr>
      <w:i/>
      <w:sz w:val="22"/>
      <w:shd w:val="clear" w:color="auto" w:fill="F2F2F2"/>
      <w:lang w:val="ru-RU" w:eastAsia="en-US"/>
    </w:rPr>
  </w:style>
  <w:style w:type="paragraph" w:styleId="Header">
    <w:name w:val="header"/>
    <w:basedOn w:val="Normal"/>
    <w:link w:val="HeaderChar1"/>
    <w:uiPriority w:val="99"/>
    <w:rsid w:val="004856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6D1"/>
    <w:rPr>
      <w:sz w:val="22"/>
      <w:shd w:val="clear" w:color="auto" w:fill="auto"/>
      <w:lang w:val="ru-RU" w:eastAsia="en-US"/>
    </w:rPr>
  </w:style>
  <w:style w:type="paragraph" w:styleId="Footer">
    <w:name w:val="footer"/>
    <w:basedOn w:val="Normal"/>
    <w:link w:val="FooterChar1"/>
    <w:uiPriority w:val="99"/>
    <w:rsid w:val="004856D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56D1"/>
    <w:rPr>
      <w:sz w:val="22"/>
      <w:shd w:val="clear" w:color="auto" w:fill="auto"/>
      <w:lang w:val="ru-RU" w:eastAsia="en-US"/>
    </w:rPr>
  </w:style>
  <w:style w:type="table" w:styleId="TableGrid">
    <w:name w:val="Table Grid"/>
    <w:basedOn w:val="TableNormal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yperlink">
    <w:name w:val="Hyperlink"/>
    <w:basedOn w:val="DefaultParagraphFont"/>
    <w:uiPriority w:val="99"/>
    <w:rsid w:val="004856D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4856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56D1"/>
    <w:rPr>
      <w:sz w:val="22"/>
      <w:shd w:val="clear" w:color="auto" w:fill="auto"/>
    </w:rPr>
  </w:style>
  <w:style w:type="character" w:styleId="FootnoteReference">
    <w:name w:val="footnote reference"/>
    <w:basedOn w:val="DefaultParagraphFont"/>
    <w:uiPriority w:val="99"/>
    <w:rsid w:val="004856D1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4856D1"/>
    <w:pPr>
      <w:spacing w:after="57"/>
    </w:pPr>
    <w:rPr>
      <w:sz w:val="20"/>
      <w:szCs w:val="22"/>
      <w:lang w:eastAsia="en-US"/>
    </w:rPr>
  </w:style>
  <w:style w:type="paragraph" w:styleId="TOC2">
    <w:name w:val="toc 2"/>
    <w:basedOn w:val="Normal"/>
    <w:uiPriority w:val="99"/>
    <w:rsid w:val="004856D1"/>
    <w:pPr>
      <w:spacing w:after="57"/>
      <w:ind w:left="283"/>
    </w:pPr>
    <w:rPr>
      <w:sz w:val="20"/>
      <w:szCs w:val="22"/>
      <w:lang w:eastAsia="en-US"/>
    </w:rPr>
  </w:style>
  <w:style w:type="paragraph" w:styleId="TOC3">
    <w:name w:val="toc 3"/>
    <w:basedOn w:val="Normal"/>
    <w:uiPriority w:val="99"/>
    <w:rsid w:val="004856D1"/>
    <w:pPr>
      <w:spacing w:after="57"/>
      <w:ind w:left="567"/>
    </w:pPr>
    <w:rPr>
      <w:sz w:val="20"/>
      <w:szCs w:val="22"/>
      <w:lang w:eastAsia="en-US"/>
    </w:rPr>
  </w:style>
  <w:style w:type="paragraph" w:styleId="TOC4">
    <w:name w:val="toc 4"/>
    <w:basedOn w:val="Normal"/>
    <w:uiPriority w:val="99"/>
    <w:rsid w:val="004856D1"/>
    <w:pPr>
      <w:spacing w:after="57"/>
      <w:ind w:left="850"/>
    </w:pPr>
    <w:rPr>
      <w:sz w:val="20"/>
      <w:szCs w:val="22"/>
      <w:lang w:eastAsia="en-US"/>
    </w:rPr>
  </w:style>
  <w:style w:type="paragraph" w:styleId="TOC5">
    <w:name w:val="toc 5"/>
    <w:basedOn w:val="Normal"/>
    <w:uiPriority w:val="99"/>
    <w:rsid w:val="004856D1"/>
    <w:pPr>
      <w:spacing w:after="57"/>
      <w:ind w:left="1134"/>
    </w:pPr>
    <w:rPr>
      <w:sz w:val="20"/>
      <w:szCs w:val="22"/>
      <w:lang w:eastAsia="en-US"/>
    </w:rPr>
  </w:style>
  <w:style w:type="paragraph" w:styleId="TOC6">
    <w:name w:val="toc 6"/>
    <w:basedOn w:val="Normal"/>
    <w:uiPriority w:val="99"/>
    <w:rsid w:val="004856D1"/>
    <w:pPr>
      <w:spacing w:after="57"/>
      <w:ind w:left="1417"/>
    </w:pPr>
    <w:rPr>
      <w:sz w:val="20"/>
      <w:szCs w:val="22"/>
      <w:lang w:eastAsia="en-US"/>
    </w:rPr>
  </w:style>
  <w:style w:type="paragraph" w:styleId="TOC7">
    <w:name w:val="toc 7"/>
    <w:basedOn w:val="Normal"/>
    <w:uiPriority w:val="99"/>
    <w:rsid w:val="004856D1"/>
    <w:pPr>
      <w:spacing w:after="57"/>
      <w:ind w:left="1701"/>
    </w:pPr>
    <w:rPr>
      <w:sz w:val="20"/>
      <w:szCs w:val="22"/>
      <w:lang w:eastAsia="en-US"/>
    </w:rPr>
  </w:style>
  <w:style w:type="paragraph" w:styleId="TOC8">
    <w:name w:val="toc 8"/>
    <w:basedOn w:val="Normal"/>
    <w:uiPriority w:val="99"/>
    <w:rsid w:val="004856D1"/>
    <w:pPr>
      <w:spacing w:after="57"/>
      <w:ind w:left="1984"/>
    </w:pPr>
    <w:rPr>
      <w:sz w:val="20"/>
      <w:szCs w:val="22"/>
      <w:lang w:eastAsia="en-US"/>
    </w:rPr>
  </w:style>
  <w:style w:type="paragraph" w:styleId="TOC9">
    <w:name w:val="toc 9"/>
    <w:basedOn w:val="Normal"/>
    <w:uiPriority w:val="99"/>
    <w:rsid w:val="004856D1"/>
    <w:pPr>
      <w:spacing w:after="57"/>
      <w:ind w:left="2268"/>
    </w:pPr>
    <w:rPr>
      <w:sz w:val="20"/>
      <w:szCs w:val="22"/>
      <w:lang w:eastAsia="en-US"/>
    </w:rPr>
  </w:style>
  <w:style w:type="paragraph" w:styleId="TOCHeading">
    <w:name w:val="TOC Heading"/>
    <w:basedOn w:val="Heading1"/>
    <w:uiPriority w:val="99"/>
    <w:qFormat/>
    <w:rsid w:val="004856D1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2"/>
      <w:lang w:eastAsia="en-US"/>
    </w:rPr>
  </w:style>
  <w:style w:type="character" w:customStyle="1" w:styleId="ConsNonformat">
    <w:name w:val="ConsNonformat Знак"/>
    <w:link w:val="ConsNonformat0"/>
    <w:uiPriority w:val="99"/>
    <w:locked/>
    <w:rsid w:val="004856D1"/>
    <w:rPr>
      <w:rFonts w:ascii="Courier New" w:hAnsi="Courier New"/>
      <w:sz w:val="22"/>
      <w:shd w:val="clear" w:color="auto" w:fill="auto"/>
      <w:lang w:val="ru-RU" w:eastAsia="ru-RU"/>
    </w:rPr>
  </w:style>
  <w:style w:type="paragraph" w:customStyle="1" w:styleId="ConsNonformat0">
    <w:name w:val="ConsNonformat"/>
    <w:link w:val="ConsNonformat"/>
    <w:uiPriority w:val="99"/>
    <w:rsid w:val="004856D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 w:val="20"/>
    </w:rPr>
  </w:style>
  <w:style w:type="paragraph" w:customStyle="1" w:styleId="ConsNormal">
    <w:name w:val="ConsNormal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4856D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4856D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1"/>
    <w:uiPriority w:val="99"/>
    <w:rsid w:val="004856D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1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4856D1"/>
    <w:rPr>
      <w:rFonts w:ascii="Tahoma" w:hAnsi="Tahoma"/>
      <w:sz w:val="16"/>
    </w:rPr>
  </w:style>
  <w:style w:type="character" w:customStyle="1" w:styleId="1">
    <w:name w:val="Просмотренная гиперссылка1"/>
    <w:uiPriority w:val="99"/>
    <w:semiHidden/>
    <w:rsid w:val="004856D1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rsid w:val="004856D1"/>
    <w:rPr>
      <w:rFonts w:cs="Times New Roman"/>
      <w:color w:val="954F72"/>
      <w:u w:val="single"/>
    </w:rPr>
  </w:style>
  <w:style w:type="character" w:customStyle="1" w:styleId="HeaderChar1">
    <w:name w:val="Header Char1"/>
    <w:link w:val="Header"/>
    <w:uiPriority w:val="99"/>
    <w:locked/>
    <w:rsid w:val="004856D1"/>
    <w:rPr>
      <w:sz w:val="24"/>
    </w:rPr>
  </w:style>
  <w:style w:type="character" w:customStyle="1" w:styleId="FooterChar1">
    <w:name w:val="Footer Char1"/>
    <w:link w:val="Footer"/>
    <w:uiPriority w:val="99"/>
    <w:locked/>
    <w:rsid w:val="004856D1"/>
    <w:rPr>
      <w:sz w:val="24"/>
      <w:lang w:val="en-US" w:eastAsia="en-US"/>
    </w:rPr>
  </w:style>
  <w:style w:type="paragraph" w:customStyle="1" w:styleId="stylet3">
    <w:name w:val="stylet3"/>
    <w:basedOn w:val="Normal"/>
    <w:uiPriority w:val="99"/>
    <w:rsid w:val="004856D1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uiPriority w:val="99"/>
    <w:rsid w:val="004856D1"/>
    <w:pPr>
      <w:ind w:left="720"/>
      <w:contextualSpacing/>
    </w:p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856D1"/>
    <w:rPr>
      <w:rFonts w:cs="Times New Roman"/>
    </w:rPr>
  </w:style>
  <w:style w:type="paragraph" w:styleId="NormalWeb">
    <w:name w:val="Normal (Web)"/>
    <w:basedOn w:val="Normal"/>
    <w:uiPriority w:val="99"/>
    <w:rsid w:val="004856D1"/>
    <w:pPr>
      <w:spacing w:after="200" w:line="276" w:lineRule="auto"/>
    </w:pPr>
    <w:rPr>
      <w:lang w:eastAsia="en-US"/>
    </w:rPr>
  </w:style>
  <w:style w:type="paragraph" w:customStyle="1" w:styleId="Standard">
    <w:name w:val="Standard"/>
    <w:uiPriority w:val="99"/>
    <w:rsid w:val="0048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imSun" w:hAnsi="Liberation Serif"/>
      <w:sz w:val="24"/>
      <w:szCs w:val="24"/>
      <w:lang w:eastAsia="zh-CN" w:bidi="hi-IN"/>
    </w:rPr>
  </w:style>
  <w:style w:type="character" w:customStyle="1" w:styleId="TitleChar1">
    <w:name w:val="Title Char1"/>
    <w:link w:val="Title"/>
    <w:uiPriority w:val="99"/>
    <w:locked/>
    <w:rsid w:val="004856D1"/>
    <w:rPr>
      <w:rFonts w:ascii="Cambria" w:hAnsi="Cambria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1668</Words>
  <Characters>9511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2023-04-20T11:29:00Z</dcterms:created>
  <dcterms:modified xsi:type="dcterms:W3CDTF">2023-04-20T11:30:00Z</dcterms:modified>
</cp:coreProperties>
</file>